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76594" w14:textId="77777777" w:rsidR="00E16947" w:rsidRPr="00290BC3" w:rsidRDefault="00E16947" w:rsidP="00E16947">
      <w:pPr>
        <w:spacing w:before="100" w:beforeAutospacing="1" w:after="100" w:afterAutospacing="1"/>
        <w:rPr>
          <w:rFonts w:ascii="Times New Roman" w:eastAsia="Times New Roman" w:hAnsi="Times New Roman" w:cs="Times New Roman"/>
        </w:rPr>
      </w:pPr>
      <w:r w:rsidRPr="00290BC3">
        <w:rPr>
          <w:rFonts w:ascii="Calibri" w:eastAsia="Times New Roman" w:hAnsi="Calibri" w:cs="Times New Roman"/>
          <w:sz w:val="48"/>
          <w:szCs w:val="48"/>
        </w:rPr>
        <w:t xml:space="preserve">SUNRISE DISPUTE RESOLUTON POLICY </w:t>
      </w:r>
    </w:p>
    <w:p w14:paraId="67E2F81D" w14:textId="09556042" w:rsidR="00E16947" w:rsidRPr="00E16947" w:rsidRDefault="00E16947" w:rsidP="00E16947">
      <w:pPr>
        <w:pStyle w:val="ListParagraph"/>
        <w:numPr>
          <w:ilvl w:val="0"/>
          <w:numId w:val="5"/>
        </w:numPr>
        <w:spacing w:before="100" w:beforeAutospacing="1" w:after="100" w:afterAutospacing="1"/>
        <w:rPr>
          <w:rFonts w:ascii="Calibri" w:eastAsia="Times New Roman" w:hAnsi="Calibri" w:cs="Times New Roman"/>
          <w:sz w:val="22"/>
          <w:szCs w:val="22"/>
        </w:rPr>
      </w:pPr>
      <w:r w:rsidRPr="00E16947">
        <w:rPr>
          <w:rFonts w:ascii="Calibri" w:eastAsia="Times New Roman" w:hAnsi="Calibri" w:cs="Times New Roman"/>
          <w:b/>
          <w:bCs/>
          <w:sz w:val="22"/>
          <w:szCs w:val="22"/>
        </w:rPr>
        <w:t>Title</w:t>
      </w:r>
      <w:r w:rsidRPr="00E16947">
        <w:rPr>
          <w:rFonts w:ascii="Calibri" w:eastAsia="Times New Roman" w:hAnsi="Calibri" w:cs="Times New Roman"/>
          <w:sz w:val="22"/>
          <w:szCs w:val="22"/>
        </w:rPr>
        <w:t xml:space="preserve">: Sunrise Dispute Resolution Policy </w:t>
      </w:r>
    </w:p>
    <w:p w14:paraId="62B0C903" w14:textId="4345CD54"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Version Control</w:t>
      </w:r>
      <w:r w:rsidRPr="00E16947">
        <w:rPr>
          <w:rFonts w:ascii="Calibri" w:eastAsia="Times New Roman" w:hAnsi="Calibri" w:cs="Times New Roman"/>
          <w:sz w:val="22"/>
          <w:szCs w:val="22"/>
        </w:rPr>
        <w:t xml:space="preserve">: 1.0 </w:t>
      </w:r>
    </w:p>
    <w:p w14:paraId="5EBA0E05" w14:textId="2036586C" w:rsidR="00E16947" w:rsidRDefault="00E16947" w:rsidP="00E16947">
      <w:pPr>
        <w:spacing w:before="100" w:beforeAutospacing="1" w:after="100" w:afterAutospacing="1"/>
        <w:rPr>
          <w:rFonts w:ascii="Calibri" w:eastAsia="Times New Roman" w:hAnsi="Calibri" w:cs="Times New Roman"/>
          <w:sz w:val="22"/>
          <w:szCs w:val="22"/>
        </w:rPr>
      </w:pPr>
      <w:r w:rsidRPr="00E16947">
        <w:rPr>
          <w:rFonts w:ascii="Calibri" w:eastAsia="Times New Roman" w:hAnsi="Calibri" w:cs="Times New Roman"/>
          <w:b/>
          <w:bCs/>
          <w:sz w:val="22"/>
          <w:szCs w:val="22"/>
        </w:rPr>
        <w:t>Date of Implementation</w:t>
      </w:r>
      <w:r w:rsidRPr="00E16947">
        <w:rPr>
          <w:rFonts w:ascii="Calibri" w:eastAsia="Times New Roman" w:hAnsi="Calibri" w:cs="Times New Roman"/>
          <w:sz w:val="22"/>
          <w:szCs w:val="22"/>
        </w:rPr>
        <w:t xml:space="preserve">: </w:t>
      </w:r>
      <w:r>
        <w:rPr>
          <w:rFonts w:ascii="Calibri" w:eastAsia="Times New Roman" w:hAnsi="Calibri" w:cs="Times New Roman"/>
          <w:sz w:val="22"/>
          <w:szCs w:val="22"/>
        </w:rPr>
        <w:t>February 28, 2020</w:t>
      </w:r>
    </w:p>
    <w:p w14:paraId="331C67A9" w14:textId="2FC975D4"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2.0 Summary </w:t>
      </w:r>
    </w:p>
    <w:p w14:paraId="63C183A0" w14:textId="0EB3D075"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This Sunrise Dispute Resolution Policy (the “Policy”) describes the process and standards that will be applied to resolve challenges alleging that a domain name has been registered or declined to be registered in </w:t>
      </w:r>
      <w:r w:rsidR="00EC747F">
        <w:rPr>
          <w:rFonts w:ascii="Calibri" w:eastAsia="Times New Roman" w:hAnsi="Calibri" w:cs="Times New Roman"/>
          <w:sz w:val="22"/>
          <w:szCs w:val="22"/>
        </w:rPr>
        <w:t>.CPA</w:t>
      </w:r>
      <w:r w:rsidRPr="00E16947">
        <w:rPr>
          <w:rFonts w:ascii="Calibri" w:eastAsia="Times New Roman" w:hAnsi="Calibri" w:cs="Times New Roman"/>
          <w:sz w:val="22"/>
          <w:szCs w:val="22"/>
        </w:rPr>
        <w:t xml:space="preserve"> </w:t>
      </w:r>
      <w:bookmarkStart w:id="0" w:name="_GoBack"/>
      <w:bookmarkEnd w:id="0"/>
      <w:r w:rsidR="00EC747F">
        <w:rPr>
          <w:rFonts w:ascii="Calibri" w:eastAsia="Times New Roman" w:hAnsi="Calibri" w:cs="Times New Roman"/>
          <w:sz w:val="22"/>
          <w:szCs w:val="22"/>
        </w:rPr>
        <w:t xml:space="preserve">TLD (.”CPA”) </w:t>
      </w:r>
      <w:r w:rsidRPr="00E16947">
        <w:rPr>
          <w:rFonts w:ascii="Calibri" w:eastAsia="Times New Roman" w:hAnsi="Calibri" w:cs="Times New Roman"/>
          <w:sz w:val="22"/>
          <w:szCs w:val="22"/>
        </w:rPr>
        <w:t xml:space="preserve">n violation of the Registry Operator’s Sunrise Eligibility Requirements. This Policy will not be applied to Registry Operator-reserved names. </w:t>
      </w:r>
    </w:p>
    <w:p w14:paraId="11E38B09" w14:textId="194C34C0"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This Policy is incorporated by reference into the Registration Agreement. A complaint may be filed against </w:t>
      </w:r>
      <w:proofErr w:type="gramStart"/>
      <w:r w:rsidRPr="00E16947">
        <w:rPr>
          <w:rFonts w:ascii="Calibri" w:eastAsia="Times New Roman" w:hAnsi="Calibri" w:cs="Times New Roman"/>
          <w:sz w:val="22"/>
          <w:szCs w:val="22"/>
        </w:rPr>
        <w:t xml:space="preserve">a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domain name registered or denied registration during the </w:t>
      </w:r>
      <w:r w:rsidR="00EC747F">
        <w:rPr>
          <w:rFonts w:ascii="Calibri" w:eastAsia="Times New Roman" w:hAnsi="Calibri" w:cs="Times New Roman"/>
          <w:sz w:val="22"/>
          <w:szCs w:val="22"/>
        </w:rPr>
        <w:t>.CPA</w:t>
      </w:r>
      <w:r w:rsidRPr="00E16947">
        <w:rPr>
          <w:rFonts w:ascii="Calibri" w:eastAsia="Times New Roman" w:hAnsi="Calibri" w:cs="Times New Roman"/>
          <w:sz w:val="22"/>
          <w:szCs w:val="22"/>
        </w:rPr>
        <w:t xml:space="preserve"> Sunrise period </w:t>
      </w:r>
      <w:r w:rsidR="00346D23">
        <w:rPr>
          <w:rFonts w:ascii="Calibri" w:eastAsia="Times New Roman" w:hAnsi="Calibri" w:cs="Times New Roman"/>
          <w:sz w:val="22"/>
          <w:szCs w:val="22"/>
        </w:rPr>
        <w:t xml:space="preserve">,which will be </w:t>
      </w:r>
      <w:r w:rsidRPr="00E16947">
        <w:rPr>
          <w:rFonts w:ascii="Calibri" w:eastAsia="Times New Roman" w:hAnsi="Calibri" w:cs="Times New Roman"/>
          <w:sz w:val="22"/>
          <w:szCs w:val="22"/>
        </w:rPr>
        <w:t>Ma</w:t>
      </w:r>
      <w:r w:rsidR="0062709B">
        <w:rPr>
          <w:rFonts w:ascii="Calibri" w:eastAsia="Times New Roman" w:hAnsi="Calibri" w:cs="Times New Roman"/>
          <w:sz w:val="22"/>
          <w:szCs w:val="22"/>
        </w:rPr>
        <w:t>rch</w:t>
      </w:r>
      <w:r w:rsidRPr="00E16947">
        <w:rPr>
          <w:rFonts w:ascii="Calibri" w:eastAsia="Times New Roman" w:hAnsi="Calibri" w:cs="Times New Roman"/>
          <w:sz w:val="22"/>
          <w:szCs w:val="22"/>
        </w:rPr>
        <w:t xml:space="preserve"> 14, 20</w:t>
      </w:r>
      <w:r w:rsidR="0062709B">
        <w:rPr>
          <w:rFonts w:ascii="Calibri" w:eastAsia="Times New Roman" w:hAnsi="Calibri" w:cs="Times New Roman"/>
          <w:sz w:val="22"/>
          <w:szCs w:val="22"/>
        </w:rPr>
        <w:t>20</w:t>
      </w:r>
      <w:r w:rsidRPr="00E16947">
        <w:rPr>
          <w:rFonts w:ascii="Calibri" w:eastAsia="Times New Roman" w:hAnsi="Calibri" w:cs="Times New Roman"/>
          <w:sz w:val="22"/>
          <w:szCs w:val="22"/>
        </w:rPr>
        <w:t xml:space="preserve"> to </w:t>
      </w:r>
      <w:r w:rsidR="0062709B">
        <w:rPr>
          <w:rFonts w:ascii="Calibri" w:eastAsia="Times New Roman" w:hAnsi="Calibri" w:cs="Times New Roman"/>
          <w:sz w:val="22"/>
          <w:szCs w:val="22"/>
        </w:rPr>
        <w:t>May 15</w:t>
      </w:r>
      <w:r w:rsidRPr="00E16947">
        <w:rPr>
          <w:rFonts w:ascii="Calibri" w:eastAsia="Times New Roman" w:hAnsi="Calibri" w:cs="Times New Roman"/>
          <w:sz w:val="22"/>
          <w:szCs w:val="22"/>
        </w:rPr>
        <w:t>, 20</w:t>
      </w:r>
      <w:r w:rsidR="0062709B">
        <w:rPr>
          <w:rFonts w:ascii="Calibri" w:eastAsia="Times New Roman" w:hAnsi="Calibri" w:cs="Times New Roman"/>
          <w:sz w:val="22"/>
          <w:szCs w:val="22"/>
        </w:rPr>
        <w:t>20</w:t>
      </w:r>
      <w:r w:rsidRPr="00E16947">
        <w:rPr>
          <w:rFonts w:ascii="Calibri" w:eastAsia="Times New Roman" w:hAnsi="Calibri" w:cs="Times New Roman"/>
          <w:sz w:val="22"/>
          <w:szCs w:val="22"/>
        </w:rPr>
        <w:t xml:space="preserve"> </w:t>
      </w:r>
      <w:r w:rsidR="00346D23">
        <w:rPr>
          <w:rFonts w:ascii="Calibri" w:eastAsia="Times New Roman" w:hAnsi="Calibri" w:cs="Times New Roman"/>
          <w:sz w:val="22"/>
          <w:szCs w:val="22"/>
        </w:rPr>
        <w:t xml:space="preserve">, </w:t>
      </w:r>
      <w:r w:rsidRPr="00E16947">
        <w:rPr>
          <w:rFonts w:ascii="Calibri" w:eastAsia="Times New Roman" w:hAnsi="Calibri" w:cs="Times New Roman"/>
          <w:sz w:val="22"/>
          <w:szCs w:val="22"/>
        </w:rPr>
        <w:t xml:space="preserve">and </w:t>
      </w:r>
      <w:r w:rsidR="00346D23">
        <w:rPr>
          <w:rFonts w:ascii="Calibri" w:eastAsia="Times New Roman" w:hAnsi="Calibri" w:cs="Times New Roman"/>
          <w:sz w:val="22"/>
          <w:szCs w:val="22"/>
        </w:rPr>
        <w:t>up to</w:t>
      </w:r>
      <w:r w:rsidR="00346D23" w:rsidRPr="00E16947">
        <w:rPr>
          <w:rFonts w:ascii="Calibri" w:eastAsia="Times New Roman" w:hAnsi="Calibri" w:cs="Times New Roman"/>
          <w:sz w:val="22"/>
          <w:szCs w:val="22"/>
        </w:rPr>
        <w:t xml:space="preserve"> </w:t>
      </w:r>
      <w:r w:rsidR="00A373E5">
        <w:rPr>
          <w:rFonts w:ascii="Calibri" w:eastAsia="Times New Roman" w:hAnsi="Calibri" w:cs="Times New Roman"/>
          <w:sz w:val="22"/>
          <w:szCs w:val="22"/>
        </w:rPr>
        <w:t>July 12</w:t>
      </w:r>
      <w:r w:rsidRPr="00E16947">
        <w:rPr>
          <w:rFonts w:ascii="Calibri" w:eastAsia="Times New Roman" w:hAnsi="Calibri" w:cs="Times New Roman"/>
          <w:sz w:val="22"/>
          <w:szCs w:val="22"/>
        </w:rPr>
        <w:t>, 20</w:t>
      </w:r>
      <w:r w:rsidR="0062709B">
        <w:rPr>
          <w:rFonts w:ascii="Calibri" w:eastAsia="Times New Roman" w:hAnsi="Calibri" w:cs="Times New Roman"/>
          <w:sz w:val="22"/>
          <w:szCs w:val="22"/>
        </w:rPr>
        <w:t>2</w:t>
      </w:r>
      <w:r w:rsidR="00A373E5">
        <w:rPr>
          <w:rFonts w:ascii="Calibri" w:eastAsia="Times New Roman" w:hAnsi="Calibri" w:cs="Times New Roman"/>
          <w:sz w:val="22"/>
          <w:szCs w:val="22"/>
        </w:rPr>
        <w:t>0.</w:t>
      </w:r>
      <w:r w:rsidRPr="00E16947">
        <w:rPr>
          <w:rFonts w:ascii="Calibri" w:eastAsia="Times New Roman" w:hAnsi="Calibri" w:cs="Times New Roman"/>
          <w:sz w:val="22"/>
          <w:szCs w:val="22"/>
        </w:rPr>
        <w:t xml:space="preserve"> </w:t>
      </w:r>
    </w:p>
    <w:p w14:paraId="6159A00D"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This Policy is administered by the National Arbitration Forum (“Forum”) on behalf of Registry Operator. The Rules governing the Policy process may be found at </w:t>
      </w:r>
      <w:r w:rsidRPr="00E16947">
        <w:rPr>
          <w:rFonts w:ascii="Calibri" w:eastAsia="Times New Roman" w:hAnsi="Calibri" w:cs="Times New Roman"/>
          <w:color w:val="0000FF"/>
          <w:sz w:val="22"/>
          <w:szCs w:val="22"/>
        </w:rPr>
        <w:t xml:space="preserve">http://domains.adrforum.com </w:t>
      </w:r>
    </w:p>
    <w:p w14:paraId="465DED03"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3.0 Applicable Disputes </w:t>
      </w:r>
    </w:p>
    <w:p w14:paraId="1C5A6136" w14:textId="08959C16" w:rsidR="00E16947" w:rsidRPr="00E16947" w:rsidRDefault="00E16947" w:rsidP="00E16947">
      <w:pPr>
        <w:spacing w:before="100" w:beforeAutospacing="1" w:after="100" w:afterAutospacing="1"/>
        <w:rPr>
          <w:rFonts w:ascii="Times New Roman" w:eastAsia="Times New Roman" w:hAnsi="Times New Roman" w:cs="Times New Roman"/>
        </w:rPr>
      </w:pPr>
      <w:proofErr w:type="gramStart"/>
      <w:r w:rsidRPr="00E16947">
        <w:rPr>
          <w:rFonts w:ascii="Calibri" w:eastAsia="Times New Roman" w:hAnsi="Calibri" w:cs="Times New Roman"/>
          <w:sz w:val="22"/>
          <w:szCs w:val="22"/>
        </w:rPr>
        <w:t xml:space="preserve">A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domain name registered or denied registration in </w:t>
      </w:r>
      <w:r w:rsidR="00EC747F">
        <w:rPr>
          <w:rFonts w:ascii="Calibri" w:eastAsia="Times New Roman" w:hAnsi="Calibri" w:cs="Times New Roman"/>
          <w:sz w:val="22"/>
          <w:szCs w:val="22"/>
        </w:rPr>
        <w:t>.CPA</w:t>
      </w:r>
      <w:r w:rsidRPr="00E16947">
        <w:rPr>
          <w:rFonts w:ascii="Calibri" w:eastAsia="Times New Roman" w:hAnsi="Calibri" w:cs="Times New Roman"/>
          <w:sz w:val="22"/>
          <w:szCs w:val="22"/>
        </w:rPr>
        <w:t xml:space="preserve"> during the Sunrise Period will be subject to this Policy upon submission of a complaint alleging that the registration or denial of registration was improper under one or more of the following criteria. </w:t>
      </w:r>
    </w:p>
    <w:p w14:paraId="52501548"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3.1 Improper Sunrise Registration-Trademarks</w:t>
      </w:r>
      <w:r w:rsidRPr="00E16947">
        <w:rPr>
          <w:rFonts w:ascii="Calibri" w:eastAsia="Times New Roman" w:hAnsi="Calibri" w:cs="Times New Roman"/>
          <w:position w:val="10"/>
          <w:sz w:val="14"/>
          <w:szCs w:val="14"/>
        </w:rPr>
        <w:t xml:space="preserve">1 </w:t>
      </w:r>
    </w:p>
    <w:p w14:paraId="654D3BA1" w14:textId="66072548"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A complaint under this section shall be required to show by reasonable evidence that </w:t>
      </w:r>
      <w:proofErr w:type="gramStart"/>
      <w:r w:rsidRPr="00E16947">
        <w:rPr>
          <w:rFonts w:ascii="Calibri" w:eastAsia="Times New Roman" w:hAnsi="Calibri" w:cs="Times New Roman"/>
          <w:sz w:val="22"/>
          <w:szCs w:val="22"/>
        </w:rPr>
        <w:t xml:space="preserve">a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domain name registered in </w:t>
      </w:r>
      <w:r w:rsidR="00EC747F">
        <w:rPr>
          <w:rFonts w:ascii="Calibri" w:eastAsia="Times New Roman" w:hAnsi="Calibri" w:cs="Times New Roman"/>
          <w:sz w:val="22"/>
          <w:szCs w:val="22"/>
        </w:rPr>
        <w:t>.CPA</w:t>
      </w:r>
      <w:r w:rsidRPr="00E16947">
        <w:rPr>
          <w:rFonts w:ascii="Calibri" w:eastAsia="Times New Roman" w:hAnsi="Calibri" w:cs="Times New Roman"/>
          <w:sz w:val="22"/>
          <w:szCs w:val="22"/>
        </w:rPr>
        <w:t xml:space="preserve"> does not comply with the Registry’s Sunrise Eligibility Requirements. Specifically, the complaint must prove one or more of the following elements: </w:t>
      </w:r>
    </w:p>
    <w:p w14:paraId="5EF56C79"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3.1.1 At time the challenged domain name was registered, the Registrant did not hold a trademark registration of national or regional (i.e., multi-nationally) effect or the trademark had not been court-validated or protected by statute or treaty; </w:t>
      </w:r>
    </w:p>
    <w:p w14:paraId="084F47C2"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position w:val="10"/>
          <w:sz w:val="12"/>
          <w:szCs w:val="12"/>
        </w:rPr>
        <w:t xml:space="preserve">1 </w:t>
      </w:r>
      <w:r w:rsidRPr="00E16947">
        <w:rPr>
          <w:rFonts w:ascii="Calibri" w:eastAsia="Times New Roman" w:hAnsi="Calibri" w:cs="Times New Roman"/>
          <w:sz w:val="20"/>
          <w:szCs w:val="20"/>
        </w:rPr>
        <w:t xml:space="preserve">ICANN Applicant Guidebook 4 June 2012, Module 5, Page 8, Article 6.2.4. A dispute under this section also addresses the TLD Criteria from ICANN’s Trademark Clearinghouse Rights Protection Mechanism Requirements [published 30 September 2013], Article 2.3.6 and Article 2.3.1.4. The Forum’s Policy does not interact with (nor </w:t>
      </w:r>
      <w:r w:rsidRPr="00E16947">
        <w:rPr>
          <w:rFonts w:ascii="Calibri" w:eastAsia="Times New Roman" w:hAnsi="Calibri" w:cs="Times New Roman"/>
          <w:sz w:val="20"/>
          <w:szCs w:val="20"/>
        </w:rPr>
        <w:lastRenderedPageBreak/>
        <w:t xml:space="preserve">instruct) the Trademark Clearinghouse and is limited to adjudicating disputes over the Registry Operator’s registration and allocation of domain names during the Sunrise period. </w:t>
      </w:r>
    </w:p>
    <w:p w14:paraId="6480A33C" w14:textId="46F69BAC" w:rsidR="00E16947" w:rsidRPr="00E16947" w:rsidRDefault="00E16947" w:rsidP="00E16947">
      <w:pPr>
        <w:rPr>
          <w:rFonts w:ascii="Times New Roman" w:eastAsia="Times New Roman" w:hAnsi="Times New Roman" w:cs="Times New Roman"/>
        </w:rPr>
      </w:pPr>
    </w:p>
    <w:p w14:paraId="360312C2" w14:textId="77777777" w:rsidR="00E16947" w:rsidRPr="00E16947" w:rsidRDefault="00E16947" w:rsidP="00E16947">
      <w:pPr>
        <w:spacing w:before="100" w:beforeAutospacing="1" w:after="100" w:afterAutospacing="1"/>
        <w:ind w:left="360"/>
        <w:rPr>
          <w:rFonts w:ascii="Times New Roman" w:eastAsia="Times New Roman" w:hAnsi="Times New Roman" w:cs="Times New Roman"/>
        </w:rPr>
      </w:pPr>
      <w:r w:rsidRPr="00E16947">
        <w:rPr>
          <w:rFonts w:ascii="Calibri" w:eastAsia="Times New Roman" w:hAnsi="Calibri" w:cs="Times New Roman"/>
          <w:sz w:val="22"/>
          <w:szCs w:val="22"/>
        </w:rPr>
        <w:t>3.1.2  The challenged domain name is not identical to the mark on which the Registrant based its Sunrise registration;</w:t>
      </w:r>
      <w:r w:rsidRPr="00E16947">
        <w:rPr>
          <w:rFonts w:ascii="Calibri" w:eastAsia="Times New Roman" w:hAnsi="Calibri" w:cs="Times New Roman"/>
          <w:position w:val="10"/>
          <w:sz w:val="14"/>
          <w:szCs w:val="14"/>
        </w:rPr>
        <w:t xml:space="preserve">2 </w:t>
      </w:r>
    </w:p>
    <w:p w14:paraId="2EF36DC6" w14:textId="77777777" w:rsidR="00E16947" w:rsidRPr="00E16947" w:rsidRDefault="00E16947" w:rsidP="00E16947">
      <w:pPr>
        <w:spacing w:before="100" w:beforeAutospacing="1" w:after="100" w:afterAutospacing="1"/>
        <w:ind w:left="360"/>
        <w:rPr>
          <w:rFonts w:ascii="Times New Roman" w:eastAsia="Times New Roman" w:hAnsi="Times New Roman" w:cs="Times New Roman"/>
        </w:rPr>
      </w:pPr>
      <w:r w:rsidRPr="00E16947">
        <w:rPr>
          <w:rFonts w:ascii="Calibri" w:eastAsia="Times New Roman" w:hAnsi="Calibri" w:cs="Times New Roman"/>
          <w:sz w:val="22"/>
          <w:szCs w:val="22"/>
        </w:rPr>
        <w:t xml:space="preserve">3.1.3  The trademark registration on which the Registrant based its Sunrise registration is not of national or regional (i.e., multi-nationally) effect or the trademark had not been court- validated or protected by statute or treaty; or </w:t>
      </w:r>
    </w:p>
    <w:p w14:paraId="4BC721D7" w14:textId="77777777" w:rsidR="00E16947" w:rsidRPr="00E16947" w:rsidRDefault="00E16947" w:rsidP="00E16947">
      <w:pPr>
        <w:spacing w:before="100" w:beforeAutospacing="1" w:after="100" w:afterAutospacing="1"/>
        <w:ind w:left="360"/>
        <w:rPr>
          <w:rFonts w:ascii="Times New Roman" w:eastAsia="Times New Roman" w:hAnsi="Times New Roman" w:cs="Times New Roman"/>
        </w:rPr>
      </w:pPr>
      <w:r w:rsidRPr="00E16947">
        <w:rPr>
          <w:rFonts w:ascii="Calibri" w:eastAsia="Times New Roman" w:hAnsi="Calibri" w:cs="Times New Roman"/>
          <w:sz w:val="22"/>
          <w:szCs w:val="22"/>
        </w:rPr>
        <w:t xml:space="preserve">3.1.4  The trademark registration on which the domain name Registrant based its Sunrise registration did not issue on or before the date specified by the Registry Operator in its Sunrise Eligibility, if one was specified. </w:t>
      </w:r>
    </w:p>
    <w:p w14:paraId="316A17F0" w14:textId="77777777" w:rsidR="00E16947" w:rsidRPr="00E16947" w:rsidRDefault="00E16947" w:rsidP="00A373E5">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3.2  Improper Denial of Sunrise Registration </w:t>
      </w:r>
    </w:p>
    <w:p w14:paraId="4E251C11" w14:textId="3B2E1C30" w:rsidR="00E16947" w:rsidRPr="00E16947" w:rsidRDefault="00E16947" w:rsidP="00A373E5">
      <w:pPr>
        <w:spacing w:before="100" w:beforeAutospacing="1" w:after="100" w:afterAutospacing="1"/>
        <w:ind w:left="450"/>
        <w:rPr>
          <w:rFonts w:ascii="Times New Roman" w:eastAsia="Times New Roman" w:hAnsi="Times New Roman" w:cs="Times New Roman"/>
        </w:rPr>
      </w:pPr>
      <w:r w:rsidRPr="00E16947">
        <w:rPr>
          <w:rFonts w:ascii="Calibri" w:eastAsia="Times New Roman" w:hAnsi="Calibri" w:cs="Times New Roman"/>
          <w:sz w:val="22"/>
          <w:szCs w:val="22"/>
        </w:rPr>
        <w:t>3.2.</w:t>
      </w:r>
      <w:proofErr w:type="gramStart"/>
      <w:r w:rsidRPr="00E16947">
        <w:rPr>
          <w:rFonts w:ascii="Calibri" w:eastAsia="Times New Roman" w:hAnsi="Calibri" w:cs="Times New Roman"/>
          <w:sz w:val="22"/>
          <w:szCs w:val="22"/>
        </w:rPr>
        <w:t>1  A</w:t>
      </w:r>
      <w:proofErr w:type="gramEnd"/>
      <w:r w:rsidRPr="00E16947">
        <w:rPr>
          <w:rFonts w:ascii="Calibri" w:eastAsia="Times New Roman" w:hAnsi="Calibri" w:cs="Times New Roman"/>
          <w:sz w:val="22"/>
          <w:szCs w:val="22"/>
        </w:rPr>
        <w:t xml:space="preserve"> complaint under this section shall be required to show by reasonable evidence that the Registry Operator failed to register a </w:t>
      </w:r>
      <w:r w:rsidR="00EC747F">
        <w:rPr>
          <w:rFonts w:ascii="Calibri" w:eastAsia="Times New Roman" w:hAnsi="Calibri" w:cs="Times New Roman"/>
          <w:sz w:val="22"/>
          <w:szCs w:val="22"/>
        </w:rPr>
        <w:t>.CPA</w:t>
      </w:r>
      <w:r w:rsidRPr="00E16947">
        <w:rPr>
          <w:rFonts w:ascii="Calibri" w:eastAsia="Times New Roman" w:hAnsi="Calibri" w:cs="Times New Roman"/>
          <w:sz w:val="22"/>
          <w:szCs w:val="22"/>
        </w:rPr>
        <w:t xml:space="preserve"> domain name that was applied for in compliance with the Registry Operator’s Sunrise Eligibility Requirements. </w:t>
      </w:r>
    </w:p>
    <w:p w14:paraId="00B295C4" w14:textId="72FC3FE4" w:rsidR="00E16947" w:rsidRPr="00E16947" w:rsidRDefault="00E16947" w:rsidP="00A373E5">
      <w:pPr>
        <w:spacing w:before="100" w:beforeAutospacing="1" w:after="100" w:afterAutospacing="1"/>
        <w:ind w:left="450"/>
        <w:rPr>
          <w:rFonts w:ascii="Times New Roman" w:eastAsia="Times New Roman" w:hAnsi="Times New Roman" w:cs="Times New Roman"/>
        </w:rPr>
      </w:pPr>
      <w:proofErr w:type="gramStart"/>
      <w:r w:rsidRPr="00E16947">
        <w:rPr>
          <w:rFonts w:ascii="Calibri" w:eastAsia="Times New Roman" w:hAnsi="Calibri" w:cs="Times New Roman"/>
          <w:sz w:val="22"/>
          <w:szCs w:val="22"/>
        </w:rPr>
        <w:t>3.2.2  In</w:t>
      </w:r>
      <w:proofErr w:type="gramEnd"/>
      <w:r w:rsidRPr="00E16947">
        <w:rPr>
          <w:rFonts w:ascii="Calibri" w:eastAsia="Times New Roman" w:hAnsi="Calibri" w:cs="Times New Roman"/>
          <w:sz w:val="22"/>
          <w:szCs w:val="22"/>
        </w:rPr>
        <w:t xml:space="preserve"> addition, to pursue remedies set forth in Section 5.0, </w:t>
      </w:r>
      <w:r w:rsidR="008D6154">
        <w:rPr>
          <w:rFonts w:ascii="Calibri" w:eastAsia="Times New Roman" w:hAnsi="Calibri" w:cs="Times New Roman"/>
          <w:sz w:val="22"/>
          <w:szCs w:val="22"/>
        </w:rPr>
        <w:t>any potential</w:t>
      </w:r>
      <w:r w:rsidR="008D6154" w:rsidRPr="00E16947">
        <w:rPr>
          <w:rFonts w:ascii="Calibri" w:eastAsia="Times New Roman" w:hAnsi="Calibri" w:cs="Times New Roman"/>
          <w:sz w:val="22"/>
          <w:szCs w:val="22"/>
        </w:rPr>
        <w:t xml:space="preserve"> </w:t>
      </w:r>
      <w:proofErr w:type="spellStart"/>
      <w:r w:rsidRPr="00E16947">
        <w:rPr>
          <w:rFonts w:ascii="Calibri" w:eastAsia="Times New Roman" w:hAnsi="Calibri" w:cs="Times New Roman"/>
          <w:sz w:val="22"/>
          <w:szCs w:val="22"/>
        </w:rPr>
        <w:t>complian</w:t>
      </w:r>
      <w:r w:rsidR="008D6154">
        <w:rPr>
          <w:rFonts w:ascii="Calibri" w:eastAsia="Times New Roman" w:hAnsi="Calibri" w:cs="Times New Roman"/>
          <w:sz w:val="22"/>
          <w:szCs w:val="22"/>
        </w:rPr>
        <w:t>an</w:t>
      </w:r>
      <w:r w:rsidRPr="00E16947">
        <w:rPr>
          <w:rFonts w:ascii="Calibri" w:eastAsia="Times New Roman" w:hAnsi="Calibri" w:cs="Times New Roman"/>
          <w:sz w:val="22"/>
          <w:szCs w:val="22"/>
        </w:rPr>
        <w:t>t</w:t>
      </w:r>
      <w:proofErr w:type="spellEnd"/>
      <w:r w:rsidRPr="00E16947">
        <w:rPr>
          <w:rFonts w:ascii="Calibri" w:eastAsia="Times New Roman" w:hAnsi="Calibri" w:cs="Times New Roman"/>
          <w:sz w:val="22"/>
          <w:szCs w:val="22"/>
        </w:rPr>
        <w:t xml:space="preserve"> MUST notify the Registry Operator within ten (10) calendar days following the Registry Operator’s decision to deny registration of the domain name of its intention to submit a complaint under this Policy. Such notice MUST be in writing. </w:t>
      </w:r>
    </w:p>
    <w:p w14:paraId="5E282EA8" w14:textId="77777777" w:rsidR="00E16947" w:rsidRPr="00E16947" w:rsidRDefault="00E16947" w:rsidP="00A373E5">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3.3  Policy Effective Dates </w:t>
      </w:r>
    </w:p>
    <w:p w14:paraId="4692D48C" w14:textId="522C019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Any claim brought under this Policy </w:t>
      </w:r>
      <w:proofErr w:type="gramStart"/>
      <w:r w:rsidRPr="00E16947">
        <w:rPr>
          <w:rFonts w:ascii="Calibri" w:eastAsia="Times New Roman" w:hAnsi="Calibri" w:cs="Times New Roman"/>
          <w:sz w:val="22"/>
          <w:szCs w:val="22"/>
        </w:rPr>
        <w:t xml:space="preserve">for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domain names shall be submitted no later than one hundred and twenty (120) calendar days after the start of the Sunrise Period. </w:t>
      </w:r>
    </w:p>
    <w:p w14:paraId="09F0EB49"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4.0  Evidence and Defenses </w:t>
      </w:r>
    </w:p>
    <w:p w14:paraId="7A7EFCA0"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4.1  Evidence </w:t>
      </w:r>
    </w:p>
    <w:p w14:paraId="74AE6D4C"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Panelists will review the Registry Operator’s Sunrise Eligibility Requirements which are required to be submitted with the complaint, as applicable, in making its decision. </w:t>
      </w:r>
    </w:p>
    <w:p w14:paraId="62A40175"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4.2 Defenses </w:t>
      </w:r>
    </w:p>
    <w:p w14:paraId="48D8C14A" w14:textId="7D45F01E"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Harmless error. A </w:t>
      </w:r>
      <w:r w:rsidR="00350826">
        <w:rPr>
          <w:rFonts w:ascii="Calibri" w:eastAsia="Times New Roman" w:hAnsi="Calibri" w:cs="Times New Roman"/>
          <w:sz w:val="22"/>
          <w:szCs w:val="22"/>
        </w:rPr>
        <w:t>respondent</w:t>
      </w:r>
      <w:r w:rsidR="00350826" w:rsidRPr="00E16947">
        <w:rPr>
          <w:rFonts w:ascii="Calibri" w:eastAsia="Times New Roman" w:hAnsi="Calibri" w:cs="Times New Roman"/>
          <w:sz w:val="22"/>
          <w:szCs w:val="22"/>
        </w:rPr>
        <w:t xml:space="preserve"> </w:t>
      </w:r>
      <w:r w:rsidRPr="00E16947">
        <w:rPr>
          <w:rFonts w:ascii="Calibri" w:eastAsia="Times New Roman" w:hAnsi="Calibri" w:cs="Times New Roman"/>
          <w:sz w:val="22"/>
          <w:szCs w:val="22"/>
        </w:rPr>
        <w:t xml:space="preserve">may produce evidence to show that, although the Sunrise registration was granted based on submission of the wrong documents, or documents containing an error, the true and </w:t>
      </w:r>
      <w:r w:rsidRPr="00E16947">
        <w:rPr>
          <w:rFonts w:ascii="Calibri" w:eastAsia="Times New Roman" w:hAnsi="Calibri" w:cs="Times New Roman"/>
          <w:sz w:val="22"/>
          <w:szCs w:val="22"/>
        </w:rPr>
        <w:lastRenderedPageBreak/>
        <w:t xml:space="preserve">correct evidence existed at the time the Sunrise registration was applied for and, thus, the registration would have been granted. </w:t>
      </w:r>
    </w:p>
    <w:p w14:paraId="3E7C2147"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5.0 Remedies </w:t>
      </w:r>
      <w:r w:rsidRPr="00E16947">
        <w:rPr>
          <w:rFonts w:ascii="Calibri" w:eastAsia="Times New Roman" w:hAnsi="Calibri" w:cs="Times New Roman"/>
          <w:sz w:val="22"/>
          <w:szCs w:val="22"/>
        </w:rPr>
        <w:t xml:space="preserve">The remedies available to a complainant for a proceeding under this Policy shall be limited to: </w:t>
      </w:r>
    </w:p>
    <w:p w14:paraId="3B158220"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5.1 Improper Sunrise Registration </w:t>
      </w:r>
    </w:p>
    <w:p w14:paraId="432DDD97" w14:textId="7F19AF2C"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If the Panelist finds that the domain name was improperly registered during the Sunrise period, the sole remedy for a complaint filed under Policy paragraph 3.1 shall be cancellation of the registration and return of the cancelled domain name to the pool of available names available for registration </w:t>
      </w:r>
      <w:proofErr w:type="gramStart"/>
      <w:r w:rsidRPr="00E16947">
        <w:rPr>
          <w:rFonts w:ascii="Calibri" w:eastAsia="Times New Roman" w:hAnsi="Calibri" w:cs="Times New Roman"/>
          <w:sz w:val="22"/>
          <w:szCs w:val="22"/>
        </w:rPr>
        <w:t xml:space="preserve">in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w:t>
      </w:r>
    </w:p>
    <w:p w14:paraId="3ABC850B" w14:textId="4D9CEEC2"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position w:val="10"/>
          <w:sz w:val="12"/>
          <w:szCs w:val="12"/>
        </w:rPr>
        <w:t xml:space="preserve">2 </w:t>
      </w:r>
      <w:r w:rsidRPr="00E16947">
        <w:rPr>
          <w:rFonts w:ascii="Calibri" w:eastAsia="Times New Roman" w:hAnsi="Calibri" w:cs="Times New Roman"/>
          <w:sz w:val="20"/>
          <w:szCs w:val="20"/>
        </w:rPr>
        <w:t xml:space="preserve">For the purposes of analysis of this element, neither the gTLD itself, nor the “dot,” shall be considered. </w:t>
      </w:r>
    </w:p>
    <w:p w14:paraId="6D48BBDA"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If the complainant independently</w:t>
      </w:r>
      <w:r w:rsidRPr="00E16947">
        <w:rPr>
          <w:rFonts w:ascii="Calibri" w:eastAsia="Times New Roman" w:hAnsi="Calibri" w:cs="Times New Roman"/>
          <w:position w:val="10"/>
          <w:sz w:val="14"/>
          <w:szCs w:val="14"/>
        </w:rPr>
        <w:t xml:space="preserve">3 </w:t>
      </w:r>
      <w:r w:rsidRPr="00E16947">
        <w:rPr>
          <w:rFonts w:ascii="Calibri" w:eastAsia="Times New Roman" w:hAnsi="Calibri" w:cs="Times New Roman"/>
          <w:sz w:val="22"/>
          <w:szCs w:val="22"/>
        </w:rPr>
        <w:t xml:space="preserve">qualifies to register the domain name, either as a regular or defensive/blocking registrant, such application may be made to the Registry Operator, or Registrar, as applicable. </w:t>
      </w:r>
    </w:p>
    <w:p w14:paraId="1A5B97A1"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5.2 Improper Denial of Sunrise Allocation </w:t>
      </w:r>
    </w:p>
    <w:p w14:paraId="46D4B1A9"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The remedies for a complaint filed under Policy paragraph 3.2 shall be limited to setting aside the denial of the Sunrise registration, if the domain name has not already been registered by another trademark holder during the Sunrise period or a third party during a subsequent period. If the complainant wishes to re-apply to register the domain name, such application may be made through a Registrar. </w:t>
      </w:r>
    </w:p>
    <w:p w14:paraId="68B086BF"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6.0  Procedure </w:t>
      </w:r>
    </w:p>
    <w:p w14:paraId="572E2BDF"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6.1  Dispute Resolution Provider / Selection of Procedure </w:t>
      </w:r>
    </w:p>
    <w:p w14:paraId="2155E5BA"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A complaint under this Policy shall be submitted to the National Arbitration Forum (“Forum”) by submitting the complaint directly to the Forum. The Forum will administer the proceeding and select a qualified and eligible Panelist. The Forum has established Rules for National Arbitration Forum’s Sunrise Dispute Resolution Policy (“Rules”), setting forth a fee schedule and other technical and process requirements for handling a dispute under this Policy. The proceedings under this Policy will be conducted according to this Policy and the applicable Rules of the Forum. </w:t>
      </w:r>
    </w:p>
    <w:p w14:paraId="775AD0A2"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6.2 Registry Operator’s or Registrar’s Involvement </w:t>
      </w:r>
    </w:p>
    <w:p w14:paraId="7202BC4D" w14:textId="176229FE"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Neither the Registry Operator nor Registrar will participate in the administration or conduct of any proceeding before a Panelist. In any event, neither the Registry Operator nor the Registrar is or will be liable as a result of any decisions rendered by the Panelist. Any Sunrise-registered domain names </w:t>
      </w:r>
      <w:proofErr w:type="gramStart"/>
      <w:r w:rsidRPr="00E16947">
        <w:rPr>
          <w:rFonts w:ascii="Calibri" w:eastAsia="Times New Roman" w:hAnsi="Calibri" w:cs="Times New Roman"/>
          <w:sz w:val="22"/>
          <w:szCs w:val="22"/>
        </w:rPr>
        <w:t xml:space="preserve">in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involved in a Policy proceeding will be locked against transfer to another domain name holder or </w:t>
      </w:r>
    </w:p>
    <w:p w14:paraId="6DFED413"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14"/>
          <w:szCs w:val="14"/>
        </w:rPr>
        <w:lastRenderedPageBreak/>
        <w:t xml:space="preserve">4 </w:t>
      </w:r>
      <w:proofErr w:type="spellStart"/>
      <w:r w:rsidRPr="00E16947">
        <w:rPr>
          <w:rFonts w:ascii="Calibri" w:eastAsia="Times New Roman" w:hAnsi="Calibri" w:cs="Times New Roman"/>
          <w:sz w:val="22"/>
          <w:szCs w:val="22"/>
        </w:rPr>
        <w:t>anotherRegistrarduringthecourseofaproceeding</w:t>
      </w:r>
      <w:proofErr w:type="spellEnd"/>
      <w:r w:rsidRPr="00E16947">
        <w:rPr>
          <w:rFonts w:ascii="Calibri" w:eastAsia="Times New Roman" w:hAnsi="Calibri" w:cs="Times New Roman"/>
          <w:sz w:val="22"/>
          <w:szCs w:val="22"/>
        </w:rPr>
        <w:t xml:space="preserve">. InthecaseofaclaimunderPolicy2(c),the </w:t>
      </w:r>
    </w:p>
    <w:p w14:paraId="641AD1B7" w14:textId="2BF1A441"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Registry Operator will prevent other parties from registering the unregistered domain name at issue until a decision is reached. The contact details of the holder of a registered domain name </w:t>
      </w:r>
      <w:proofErr w:type="gramStart"/>
      <w:r w:rsidRPr="00E16947">
        <w:rPr>
          <w:rFonts w:ascii="Calibri" w:eastAsia="Times New Roman" w:hAnsi="Calibri" w:cs="Times New Roman"/>
          <w:sz w:val="22"/>
          <w:szCs w:val="22"/>
        </w:rPr>
        <w:t xml:space="preserve">in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against which a complaint has been filed, will be as shown in the Registrar’s publicly available </w:t>
      </w:r>
      <w:proofErr w:type="spellStart"/>
      <w:r w:rsidRPr="00E16947">
        <w:rPr>
          <w:rFonts w:ascii="Calibri" w:eastAsia="Times New Roman" w:hAnsi="Calibri" w:cs="Times New Roman"/>
          <w:sz w:val="22"/>
          <w:szCs w:val="22"/>
        </w:rPr>
        <w:t>Whois</w:t>
      </w:r>
      <w:proofErr w:type="spellEnd"/>
      <w:r w:rsidRPr="00E16947">
        <w:rPr>
          <w:rFonts w:ascii="Calibri" w:eastAsia="Times New Roman" w:hAnsi="Calibri" w:cs="Times New Roman"/>
          <w:sz w:val="22"/>
          <w:szCs w:val="22"/>
        </w:rPr>
        <w:t xml:space="preserve"> database record for the relevant Registrant. The Registry Operator and the applicable Registrar will comply with any Panelist decision and make all appropriate changes to the status of the domain name registration(s) in their </w:t>
      </w:r>
      <w:proofErr w:type="spellStart"/>
      <w:r w:rsidRPr="00E16947">
        <w:rPr>
          <w:rFonts w:ascii="Calibri" w:eastAsia="Times New Roman" w:hAnsi="Calibri" w:cs="Times New Roman"/>
          <w:sz w:val="22"/>
          <w:szCs w:val="22"/>
        </w:rPr>
        <w:t>Whois</w:t>
      </w:r>
      <w:proofErr w:type="spellEnd"/>
      <w:r w:rsidRPr="00E16947">
        <w:rPr>
          <w:rFonts w:ascii="Calibri" w:eastAsia="Times New Roman" w:hAnsi="Calibri" w:cs="Times New Roman"/>
          <w:sz w:val="22"/>
          <w:szCs w:val="22"/>
        </w:rPr>
        <w:t xml:space="preserve"> databases. </w:t>
      </w:r>
    </w:p>
    <w:p w14:paraId="73EC3A36"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6.3 Parties </w:t>
      </w:r>
    </w:p>
    <w:p w14:paraId="48821690" w14:textId="7037272E"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The Applicant or Registrant of a registered domain name in </w:t>
      </w:r>
      <w:r w:rsidR="00EC747F">
        <w:rPr>
          <w:rFonts w:ascii="Calibri" w:eastAsia="Times New Roman" w:hAnsi="Calibri" w:cs="Times New Roman"/>
          <w:sz w:val="22"/>
          <w:szCs w:val="22"/>
        </w:rPr>
        <w:t>.CPA</w:t>
      </w:r>
      <w:r w:rsidRPr="00E16947">
        <w:rPr>
          <w:rFonts w:ascii="Calibri" w:eastAsia="Times New Roman" w:hAnsi="Calibri" w:cs="Times New Roman"/>
          <w:sz w:val="22"/>
          <w:szCs w:val="22"/>
        </w:rPr>
        <w:t xml:space="preserve"> shall be promptly notified by the Forum of the commencement of a dispute under this Policy, and may contest the allegations of the complaint or show other cause why the remedy requested in the complaint should not be granted in accordance with this Policy. In all cases, the burden of proof shall be on the complainant, and default or other failure of the holder of the registered domain name shall not constitute an admission to any allegation of the complaint. The Forum shall promptly notify all named parties in the dispute, as well as the Registrar and the Registry Operator of any decision made by a Panelist. </w:t>
      </w:r>
    </w:p>
    <w:p w14:paraId="75EADE98" w14:textId="5933F98E"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position w:val="10"/>
          <w:sz w:val="12"/>
          <w:szCs w:val="12"/>
        </w:rPr>
        <w:t xml:space="preserve">3 </w:t>
      </w:r>
      <w:r w:rsidRPr="00E16947">
        <w:rPr>
          <w:rFonts w:ascii="Calibri" w:eastAsia="Times New Roman" w:hAnsi="Calibri" w:cs="Times New Roman"/>
          <w:sz w:val="20"/>
          <w:szCs w:val="20"/>
        </w:rPr>
        <w:t>A prevailing trademark challenger is still required to meet the Registry Operator’s policies (e.g., Registrant Eligibility, Name Selection, Name Allocation) to be eligible to register the domain name.</w:t>
      </w:r>
      <w:r w:rsidRPr="00E16947">
        <w:rPr>
          <w:rFonts w:ascii="Calibri" w:eastAsia="Times New Roman" w:hAnsi="Calibri" w:cs="Times New Roman"/>
          <w:sz w:val="20"/>
          <w:szCs w:val="20"/>
        </w:rPr>
        <w:br/>
      </w:r>
      <w:r w:rsidRPr="00E16947">
        <w:rPr>
          <w:rFonts w:ascii="Calibri" w:eastAsia="Times New Roman" w:hAnsi="Calibri" w:cs="Times New Roman"/>
          <w:position w:val="10"/>
          <w:sz w:val="12"/>
          <w:szCs w:val="12"/>
        </w:rPr>
        <w:t xml:space="preserve">4 </w:t>
      </w:r>
      <w:r w:rsidRPr="00E16947">
        <w:rPr>
          <w:rFonts w:ascii="Calibri" w:eastAsia="Times New Roman" w:hAnsi="Calibri" w:cs="Times New Roman"/>
          <w:sz w:val="20"/>
          <w:szCs w:val="20"/>
        </w:rPr>
        <w:t>Registry Operator may, though its agreement with Registrars, instead require the Registrar to perform the lock and/or implementation steps.</w:t>
      </w:r>
    </w:p>
    <w:p w14:paraId="37E15BB3" w14:textId="77777777" w:rsidR="00E16947" w:rsidRDefault="00E16947" w:rsidP="00E16947">
      <w:pPr>
        <w:spacing w:before="100" w:beforeAutospacing="1" w:after="100" w:afterAutospacing="1"/>
        <w:rPr>
          <w:rFonts w:ascii="Calibri" w:eastAsia="Times New Roman" w:hAnsi="Calibri" w:cs="Times New Roman"/>
          <w:sz w:val="22"/>
          <w:szCs w:val="22"/>
        </w:rPr>
      </w:pPr>
      <w:r w:rsidRPr="00E16947">
        <w:rPr>
          <w:rFonts w:ascii="Calibri" w:eastAsia="Times New Roman" w:hAnsi="Calibri" w:cs="Times New Roman"/>
          <w:sz w:val="22"/>
          <w:szCs w:val="22"/>
        </w:rPr>
        <w:t xml:space="preserve">6.4 Decisions </w:t>
      </w:r>
    </w:p>
    <w:p w14:paraId="4E6A6C5F" w14:textId="3CD4BA87" w:rsidR="00E16947" w:rsidRPr="00E16947" w:rsidRDefault="00E16947" w:rsidP="00E16947">
      <w:pPr>
        <w:pStyle w:val="ListParagraph"/>
        <w:spacing w:before="100" w:beforeAutospacing="1" w:after="100" w:afterAutospacing="1"/>
        <w:ind w:left="360"/>
        <w:rPr>
          <w:rFonts w:ascii="Times New Roman" w:eastAsia="Times New Roman" w:hAnsi="Times New Roman" w:cs="Times New Roman"/>
        </w:rPr>
      </w:pPr>
      <w:r w:rsidRPr="00E16947">
        <w:rPr>
          <w:rFonts w:ascii="Calibri" w:eastAsia="Times New Roman" w:hAnsi="Calibri" w:cs="Times New Roman"/>
          <w:sz w:val="22"/>
          <w:szCs w:val="22"/>
        </w:rPr>
        <w:t xml:space="preserve">6.4.1 The Panelist may state the basis on which the decision is issued in summary format and may include such commentary or guidance as the Panelist deems appropriate; </w:t>
      </w:r>
    </w:p>
    <w:p w14:paraId="3A4EB683" w14:textId="77777777" w:rsidR="00E16947" w:rsidRDefault="00E16947" w:rsidP="00E16947">
      <w:pPr>
        <w:pStyle w:val="ListParagraph"/>
        <w:spacing w:before="100" w:beforeAutospacing="1" w:after="100" w:afterAutospacing="1"/>
        <w:ind w:left="360"/>
        <w:rPr>
          <w:rFonts w:ascii="Calibri" w:eastAsia="Times New Roman" w:hAnsi="Calibri" w:cs="Times New Roman"/>
          <w:sz w:val="22"/>
          <w:szCs w:val="22"/>
        </w:rPr>
      </w:pPr>
    </w:p>
    <w:p w14:paraId="63CC5BCA" w14:textId="0EE6FA30" w:rsidR="00E16947" w:rsidRPr="00E16947" w:rsidRDefault="00E16947" w:rsidP="00E16947">
      <w:pPr>
        <w:pStyle w:val="ListParagraph"/>
        <w:spacing w:before="100" w:beforeAutospacing="1" w:after="100" w:afterAutospacing="1"/>
        <w:ind w:left="360"/>
        <w:rPr>
          <w:rFonts w:ascii="Times New Roman" w:eastAsia="Times New Roman" w:hAnsi="Times New Roman" w:cs="Times New Roman"/>
        </w:rPr>
      </w:pPr>
      <w:r w:rsidRPr="00E16947">
        <w:rPr>
          <w:rFonts w:ascii="Calibri" w:eastAsia="Times New Roman" w:hAnsi="Calibri" w:cs="Times New Roman"/>
          <w:sz w:val="22"/>
          <w:szCs w:val="22"/>
        </w:rPr>
        <w:t xml:space="preserve">6.4.2 The decision shall state whether a registered domain name </w:t>
      </w:r>
      <w:proofErr w:type="gramStart"/>
      <w:r w:rsidRPr="00E16947">
        <w:rPr>
          <w:rFonts w:ascii="Calibri" w:eastAsia="Times New Roman" w:hAnsi="Calibri" w:cs="Times New Roman"/>
          <w:sz w:val="22"/>
          <w:szCs w:val="22"/>
        </w:rPr>
        <w:t xml:space="preserve">in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is to be cancelled or the status quo maintained; and </w:t>
      </w:r>
    </w:p>
    <w:p w14:paraId="4D758825" w14:textId="77777777" w:rsidR="00E16947" w:rsidRDefault="00E16947" w:rsidP="00E16947">
      <w:pPr>
        <w:pStyle w:val="ListParagraph"/>
        <w:spacing w:before="100" w:beforeAutospacing="1" w:after="100" w:afterAutospacing="1"/>
        <w:ind w:left="360"/>
        <w:rPr>
          <w:rFonts w:ascii="Calibri" w:eastAsia="Times New Roman" w:hAnsi="Calibri" w:cs="Times New Roman"/>
          <w:sz w:val="22"/>
          <w:szCs w:val="22"/>
        </w:rPr>
      </w:pPr>
    </w:p>
    <w:p w14:paraId="31EA4813" w14:textId="78BC81D3" w:rsidR="00E16947" w:rsidRPr="00E16947" w:rsidRDefault="00E16947" w:rsidP="00E16947">
      <w:pPr>
        <w:pStyle w:val="ListParagraph"/>
        <w:spacing w:before="100" w:beforeAutospacing="1" w:after="100" w:afterAutospacing="1"/>
        <w:ind w:left="360"/>
        <w:rPr>
          <w:rFonts w:ascii="Times New Roman" w:eastAsia="Times New Roman" w:hAnsi="Times New Roman" w:cs="Times New Roman"/>
        </w:rPr>
      </w:pPr>
      <w:r w:rsidRPr="00E16947">
        <w:rPr>
          <w:rFonts w:ascii="Calibri" w:eastAsia="Times New Roman" w:hAnsi="Calibri" w:cs="Times New Roman"/>
          <w:sz w:val="22"/>
          <w:szCs w:val="22"/>
        </w:rPr>
        <w:t xml:space="preserve">6.4.3 Decisions made under this Policy will be publicly published by the Forum on its website. </w:t>
      </w:r>
    </w:p>
    <w:p w14:paraId="437F3889"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6.5 Implementation of a Lock and the Decision </w:t>
      </w:r>
    </w:p>
    <w:p w14:paraId="02A8C680"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If a Panelist’s decision requires a change to the status of a registered domain name, the Registry Operator</w:t>
      </w:r>
      <w:r w:rsidRPr="00E16947">
        <w:rPr>
          <w:rFonts w:ascii="Calibri" w:eastAsia="Times New Roman" w:hAnsi="Calibri" w:cs="Times New Roman"/>
          <w:position w:val="10"/>
          <w:sz w:val="14"/>
          <w:szCs w:val="14"/>
        </w:rPr>
        <w:t xml:space="preserve">5 </w:t>
      </w:r>
      <w:r w:rsidRPr="00E16947">
        <w:rPr>
          <w:rFonts w:ascii="Calibri" w:eastAsia="Times New Roman" w:hAnsi="Calibri" w:cs="Times New Roman"/>
          <w:sz w:val="22"/>
          <w:szCs w:val="22"/>
        </w:rPr>
        <w:t>will wait ten (10) business days after communication of the decision before implementing that decision, unless the registrant submits to the Registry Operator (with a copy to the Forum) during that ten (10) day period official documentation (such as a copy of a complaint, file-stamped by the clerk of the court) that the Registrant has commenced a lawsuit to preserve its claimed rights in a court of competent jurisdiction over the parties and the registered domain name. If such documentation is received no further action shall be taken until the Registry Operator receives (</w:t>
      </w:r>
      <w:proofErr w:type="spellStart"/>
      <w:r w:rsidRPr="00E16947">
        <w:rPr>
          <w:rFonts w:ascii="Calibri" w:eastAsia="Times New Roman" w:hAnsi="Calibri" w:cs="Times New Roman"/>
          <w:sz w:val="22"/>
          <w:szCs w:val="22"/>
        </w:rPr>
        <w:t>i</w:t>
      </w:r>
      <w:proofErr w:type="spellEnd"/>
      <w:r w:rsidRPr="00E16947">
        <w:rPr>
          <w:rFonts w:ascii="Calibri" w:eastAsia="Times New Roman" w:hAnsi="Calibri" w:cs="Times New Roman"/>
          <w:sz w:val="22"/>
          <w:szCs w:val="22"/>
        </w:rPr>
        <w:t xml:space="preserve">) evidence satisfactory to the Registry Operator of an agreed resolution between the parties; (ii) evidence satisfactory to Registry </w:t>
      </w:r>
      <w:r w:rsidRPr="00E16947">
        <w:rPr>
          <w:rFonts w:ascii="Calibri" w:eastAsia="Times New Roman" w:hAnsi="Calibri" w:cs="Times New Roman"/>
          <w:sz w:val="22"/>
          <w:szCs w:val="22"/>
        </w:rPr>
        <w:lastRenderedPageBreak/>
        <w:t xml:space="preserve">Operator that registrant’s lawsuit has been dismissed or withdrawn; or (iii) a copy of an order from such court dismissing such lawsuit or otherwise directing disposition of the registered domain name. </w:t>
      </w:r>
    </w:p>
    <w:p w14:paraId="1FD3D11A"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6.6 Representations and Warranties </w:t>
      </w:r>
    </w:p>
    <w:p w14:paraId="1C09998F"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Parties to a dispute under this Policy shall warrant that all factual allegations made in the course thereof are true and correct to the best of their knowledge, shall remain subject to all representations and warranties made in the course of registration of a disputed domain name. </w:t>
      </w:r>
    </w:p>
    <w:p w14:paraId="3754B587"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7.0 Maintaining the Status Quo </w:t>
      </w:r>
    </w:p>
    <w:p w14:paraId="47C4C6D2"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During a proceeding under this Policy, the registered domain name shall be locked against transfers between Registrants and/or Registrars and against deletion by Registrants. </w:t>
      </w:r>
    </w:p>
    <w:p w14:paraId="630C4AC4"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8.0 Indemnification / Hold Harmless </w:t>
      </w:r>
    </w:p>
    <w:p w14:paraId="699D314B"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The parties shall hold the Registrar, the Registry Operator, the Forum, and the Panelist harmless from any claim arising from operation of this Policy. Neither party may name the Registrar, the Registry Operator, the Forum, or the Panelist as a party or otherwise include the Registrar, the Registry Operator, the Forum, or the Panelist in any judicial proceeding relating to the dispute or the administration of this Policy. The parties shall indemnify, defend and hold harmless the registrar, the Registry Operator, the Forum, the Panelist and their respective employees, contractors, agents and service providers from any claim arising from the conduct or result of a proceeding under this Policy. Neither the Registrar, the Registry Operator, Forum, the Panelist and their respective employees, contractors, agents and service providers shall be liable to a party for any act or omission in connection with any administrative </w:t>
      </w:r>
    </w:p>
    <w:p w14:paraId="130BC10A" w14:textId="017882BD"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position w:val="10"/>
          <w:sz w:val="12"/>
          <w:szCs w:val="12"/>
        </w:rPr>
        <w:t xml:space="preserve">5 </w:t>
      </w:r>
      <w:r w:rsidRPr="00E16947">
        <w:rPr>
          <w:rFonts w:ascii="Calibri" w:eastAsia="Times New Roman" w:hAnsi="Calibri" w:cs="Times New Roman"/>
          <w:sz w:val="20"/>
          <w:szCs w:val="20"/>
        </w:rPr>
        <w:t xml:space="preserve">Registry Operator may, though its agreement with Registrars, instead require the Registrar to perform the lock and implementation steps. </w:t>
      </w:r>
    </w:p>
    <w:p w14:paraId="44F96709" w14:textId="4E18BB42"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proceeding under this Policy or the corresponding Rules. The complainant shall be directly and solely liable to the Registrant in the event the complaint is granted in circumstances where the Registrant is lawfully entitled to Registration and use of the registered domain name(s) </w:t>
      </w:r>
      <w:proofErr w:type="gramStart"/>
      <w:r w:rsidRPr="00E16947">
        <w:rPr>
          <w:rFonts w:ascii="Calibri" w:eastAsia="Times New Roman" w:hAnsi="Calibri" w:cs="Times New Roman"/>
          <w:sz w:val="22"/>
          <w:szCs w:val="22"/>
        </w:rPr>
        <w:t xml:space="preserve">in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w:t>
      </w:r>
    </w:p>
    <w:p w14:paraId="2EF2AC45"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9.0 Relation to Other Dispute Resolution Policies </w:t>
      </w:r>
    </w:p>
    <w:p w14:paraId="2EC7B167"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This Policy is in addition to and complementary with the Uniform Domain Name Dispute Resolution Policy (“UDRP”), the Uniform Rapid Suspension System (“URS”) and any charter, nexus, or eligibility dispute policies adopted by ICANN or the Registry Operator. </w:t>
      </w:r>
    </w:p>
    <w:p w14:paraId="3DED8A32"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10.0 Effect of Other Proceedings </w:t>
      </w:r>
    </w:p>
    <w:p w14:paraId="5CDB6878" w14:textId="25D4B92E"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 xml:space="preserve">The administrative proceeding under the Policy shall not prevent either party from submitting a dispute concerning the registered domain name </w:t>
      </w:r>
      <w:proofErr w:type="gramStart"/>
      <w:r w:rsidRPr="00E16947">
        <w:rPr>
          <w:rFonts w:ascii="Calibri" w:eastAsia="Times New Roman" w:hAnsi="Calibri" w:cs="Times New Roman"/>
          <w:sz w:val="22"/>
          <w:szCs w:val="22"/>
        </w:rPr>
        <w:t xml:space="preserve">in </w:t>
      </w:r>
      <w:r w:rsidR="00EC747F">
        <w:rPr>
          <w:rFonts w:ascii="Calibri" w:eastAsia="Times New Roman" w:hAnsi="Calibri" w:cs="Times New Roman"/>
          <w:sz w:val="22"/>
          <w:szCs w:val="22"/>
        </w:rPr>
        <w:t>.CPA</w:t>
      </w:r>
      <w:proofErr w:type="gramEnd"/>
      <w:r w:rsidRPr="00E16947">
        <w:rPr>
          <w:rFonts w:ascii="Calibri" w:eastAsia="Times New Roman" w:hAnsi="Calibri" w:cs="Times New Roman"/>
          <w:sz w:val="22"/>
          <w:szCs w:val="22"/>
        </w:rPr>
        <w:t xml:space="preserve"> to concurrent administrative proceedings or to a court </w:t>
      </w:r>
      <w:r w:rsidRPr="00E16947">
        <w:rPr>
          <w:rFonts w:ascii="Calibri" w:eastAsia="Times New Roman" w:hAnsi="Calibri" w:cs="Times New Roman"/>
          <w:sz w:val="22"/>
          <w:szCs w:val="22"/>
        </w:rPr>
        <w:lastRenderedPageBreak/>
        <w:t xml:space="preserve">of competent jurisdiction for independent resolution during a pending Policy administrative proceeding or after such proceeding is concluded. Upon notice of such other proceeding, the Policy proceeding may be terminated (in the sole discretion of the Panelist) in deference to the outcome of such other proceeding. </w:t>
      </w:r>
    </w:p>
    <w:p w14:paraId="6843A84C"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b/>
          <w:bCs/>
          <w:sz w:val="22"/>
          <w:szCs w:val="22"/>
        </w:rPr>
        <w:t xml:space="preserve">11.0 Amendment </w:t>
      </w:r>
    </w:p>
    <w:p w14:paraId="34D9162C" w14:textId="0E730B6B"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sz w:val="22"/>
          <w:szCs w:val="22"/>
        </w:rPr>
        <w:t>The Forum reserves the right to modify this Policy at any time subject to the terms of its Memorandum of Understanding with the Registry Operator. Such revised Policy shall be posted on the Forum Website at least 30-calendar days before it becomes effective;</w:t>
      </w:r>
      <w:r w:rsidRPr="00E16947">
        <w:rPr>
          <w:rFonts w:ascii="Calibri" w:eastAsia="Times New Roman" w:hAnsi="Calibri" w:cs="Times New Roman"/>
          <w:position w:val="10"/>
          <w:sz w:val="14"/>
          <w:szCs w:val="14"/>
        </w:rPr>
        <w:t xml:space="preserve">6 </w:t>
      </w:r>
      <w:r w:rsidRPr="00E16947">
        <w:rPr>
          <w:rFonts w:ascii="Calibri" w:eastAsia="Times New Roman" w:hAnsi="Calibri" w:cs="Times New Roman"/>
          <w:sz w:val="22"/>
          <w:szCs w:val="22"/>
        </w:rPr>
        <w:t>unless this Policy has already been invoked by the submission of a complaint, in which event the version of the Policy in effect at the time it was invoked will apply until the dispute is concluded. In the event that Registrant objects to a change in this Policy, the sole remedy is to cancel the Registration, provided that Registrant will not be entitled to a refund of any fees paid in connection with such Registratio</w:t>
      </w:r>
      <w:r>
        <w:rPr>
          <w:rFonts w:ascii="Calibri" w:eastAsia="Times New Roman" w:hAnsi="Calibri" w:cs="Times New Roman"/>
          <w:sz w:val="22"/>
          <w:szCs w:val="22"/>
        </w:rPr>
        <w:t>n.</w:t>
      </w:r>
    </w:p>
    <w:p w14:paraId="0734742C" w14:textId="77777777" w:rsidR="00E16947" w:rsidRPr="00E16947" w:rsidRDefault="00E16947" w:rsidP="00E16947">
      <w:pPr>
        <w:spacing w:before="100" w:beforeAutospacing="1" w:after="100" w:afterAutospacing="1"/>
        <w:rPr>
          <w:rFonts w:ascii="Times New Roman" w:eastAsia="Times New Roman" w:hAnsi="Times New Roman" w:cs="Times New Roman"/>
        </w:rPr>
      </w:pPr>
      <w:r w:rsidRPr="00E16947">
        <w:rPr>
          <w:rFonts w:ascii="Calibri" w:eastAsia="Times New Roman" w:hAnsi="Calibri" w:cs="Times New Roman"/>
          <w:position w:val="10"/>
          <w:sz w:val="12"/>
          <w:szCs w:val="12"/>
        </w:rPr>
        <w:t xml:space="preserve">6 </w:t>
      </w:r>
      <w:r w:rsidRPr="00E16947">
        <w:rPr>
          <w:rFonts w:ascii="Calibri" w:eastAsia="Times New Roman" w:hAnsi="Calibri" w:cs="Times New Roman"/>
          <w:sz w:val="20"/>
          <w:szCs w:val="20"/>
        </w:rPr>
        <w:t xml:space="preserve">The Forum may correct typographical errors without notice. </w:t>
      </w:r>
    </w:p>
    <w:p w14:paraId="0AEE33C0" w14:textId="77777777" w:rsidR="00E412BE" w:rsidRDefault="00EC4B04"/>
    <w:sectPr w:rsidR="00E412BE" w:rsidSect="006C2C0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5EDA5" w14:textId="77777777" w:rsidR="00EC4B04" w:rsidRDefault="00EC4B04" w:rsidP="00E16947">
      <w:r>
        <w:separator/>
      </w:r>
    </w:p>
  </w:endnote>
  <w:endnote w:type="continuationSeparator" w:id="0">
    <w:p w14:paraId="400E38F4" w14:textId="77777777" w:rsidR="00EC4B04" w:rsidRDefault="00EC4B04" w:rsidP="00E16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A37EA" w14:textId="77777777" w:rsidR="0086191D" w:rsidRDefault="00861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B6A98" w14:textId="77777777" w:rsidR="0086191D" w:rsidRDefault="008619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E840A" w14:textId="77777777" w:rsidR="0086191D" w:rsidRDefault="00861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5DA7" w14:textId="77777777" w:rsidR="00EC4B04" w:rsidRDefault="00EC4B04" w:rsidP="00E16947">
      <w:r>
        <w:separator/>
      </w:r>
    </w:p>
  </w:footnote>
  <w:footnote w:type="continuationSeparator" w:id="0">
    <w:p w14:paraId="63E677BC" w14:textId="77777777" w:rsidR="00EC4B04" w:rsidRDefault="00EC4B04" w:rsidP="00E16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FADB" w14:textId="77777777" w:rsidR="0086191D" w:rsidRDefault="00861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2048" w14:textId="6191BD39" w:rsidR="00E16947" w:rsidRDefault="00E16947">
    <w:pPr>
      <w:pStyle w:val="Header"/>
    </w:pPr>
    <w:r w:rsidRPr="00E16947">
      <w:rPr>
        <w:noProof/>
      </w:rPr>
      <w:drawing>
        <wp:inline distT="0" distB="0" distL="0" distR="0" wp14:anchorId="38C61D04" wp14:editId="5174248F">
          <wp:extent cx="925503" cy="942579"/>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60680" cy="978405"/>
                  </a:xfrm>
                  <a:prstGeom prst="rect">
                    <a:avLst/>
                  </a:prstGeom>
                </pic:spPr>
              </pic:pic>
            </a:graphicData>
          </a:graphic>
        </wp:inline>
      </w:drawing>
    </w:r>
  </w:p>
  <w:p w14:paraId="366B3065" w14:textId="77777777" w:rsidR="00E16947" w:rsidRDefault="00E169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B037" w14:textId="77777777" w:rsidR="0086191D" w:rsidRDefault="00861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0166"/>
    <w:multiLevelType w:val="multilevel"/>
    <w:tmpl w:val="AF04C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E4154"/>
    <w:multiLevelType w:val="multilevel"/>
    <w:tmpl w:val="D03E8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4423D9"/>
    <w:multiLevelType w:val="multilevel"/>
    <w:tmpl w:val="E942473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5A47A5"/>
    <w:multiLevelType w:val="multilevel"/>
    <w:tmpl w:val="6E3A36B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4" w15:restartNumberingAfterBreak="0">
    <w:nsid w:val="71B468F7"/>
    <w:multiLevelType w:val="multilevel"/>
    <w:tmpl w:val="49083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947"/>
    <w:rsid w:val="00193602"/>
    <w:rsid w:val="00290BC3"/>
    <w:rsid w:val="00346D23"/>
    <w:rsid w:val="00350826"/>
    <w:rsid w:val="00472EC5"/>
    <w:rsid w:val="00594E62"/>
    <w:rsid w:val="005A112D"/>
    <w:rsid w:val="0062709B"/>
    <w:rsid w:val="006C2C04"/>
    <w:rsid w:val="00737DAE"/>
    <w:rsid w:val="007E1CBB"/>
    <w:rsid w:val="0086191D"/>
    <w:rsid w:val="008D5258"/>
    <w:rsid w:val="008D6154"/>
    <w:rsid w:val="009D789F"/>
    <w:rsid w:val="00A26481"/>
    <w:rsid w:val="00A373E5"/>
    <w:rsid w:val="00A44D4C"/>
    <w:rsid w:val="00C16F1D"/>
    <w:rsid w:val="00D8505F"/>
    <w:rsid w:val="00E16947"/>
    <w:rsid w:val="00E257E5"/>
    <w:rsid w:val="00EC4B04"/>
    <w:rsid w:val="00EC669D"/>
    <w:rsid w:val="00EC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D19FD4"/>
  <w14:defaultImageDpi w14:val="32767"/>
  <w15:chartTrackingRefBased/>
  <w15:docId w15:val="{64D4BB42-9568-BF47-9E88-9559BB38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947"/>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16947"/>
    <w:pPr>
      <w:ind w:left="720"/>
      <w:contextualSpacing/>
    </w:pPr>
  </w:style>
  <w:style w:type="paragraph" w:styleId="Header">
    <w:name w:val="header"/>
    <w:basedOn w:val="Normal"/>
    <w:link w:val="HeaderChar"/>
    <w:uiPriority w:val="99"/>
    <w:unhideWhenUsed/>
    <w:rsid w:val="00E16947"/>
    <w:pPr>
      <w:tabs>
        <w:tab w:val="center" w:pos="4680"/>
        <w:tab w:val="right" w:pos="9360"/>
      </w:tabs>
    </w:pPr>
  </w:style>
  <w:style w:type="character" w:customStyle="1" w:styleId="HeaderChar">
    <w:name w:val="Header Char"/>
    <w:basedOn w:val="DefaultParagraphFont"/>
    <w:link w:val="Header"/>
    <w:uiPriority w:val="99"/>
    <w:rsid w:val="00E16947"/>
  </w:style>
  <w:style w:type="paragraph" w:styleId="Footer">
    <w:name w:val="footer"/>
    <w:basedOn w:val="Normal"/>
    <w:link w:val="FooterChar"/>
    <w:uiPriority w:val="99"/>
    <w:unhideWhenUsed/>
    <w:rsid w:val="00E16947"/>
    <w:pPr>
      <w:tabs>
        <w:tab w:val="center" w:pos="4680"/>
        <w:tab w:val="right" w:pos="9360"/>
      </w:tabs>
    </w:pPr>
  </w:style>
  <w:style w:type="character" w:customStyle="1" w:styleId="FooterChar">
    <w:name w:val="Footer Char"/>
    <w:basedOn w:val="DefaultParagraphFont"/>
    <w:link w:val="Footer"/>
    <w:uiPriority w:val="99"/>
    <w:rsid w:val="00E16947"/>
  </w:style>
  <w:style w:type="character" w:styleId="CommentReference">
    <w:name w:val="annotation reference"/>
    <w:basedOn w:val="DefaultParagraphFont"/>
    <w:uiPriority w:val="99"/>
    <w:semiHidden/>
    <w:unhideWhenUsed/>
    <w:rsid w:val="00A26481"/>
    <w:rPr>
      <w:sz w:val="16"/>
      <w:szCs w:val="16"/>
    </w:rPr>
  </w:style>
  <w:style w:type="paragraph" w:styleId="CommentText">
    <w:name w:val="annotation text"/>
    <w:basedOn w:val="Normal"/>
    <w:link w:val="CommentTextChar"/>
    <w:uiPriority w:val="99"/>
    <w:semiHidden/>
    <w:unhideWhenUsed/>
    <w:rsid w:val="00A26481"/>
    <w:rPr>
      <w:sz w:val="20"/>
      <w:szCs w:val="20"/>
    </w:rPr>
  </w:style>
  <w:style w:type="character" w:customStyle="1" w:styleId="CommentTextChar">
    <w:name w:val="Comment Text Char"/>
    <w:basedOn w:val="DefaultParagraphFont"/>
    <w:link w:val="CommentText"/>
    <w:uiPriority w:val="99"/>
    <w:semiHidden/>
    <w:rsid w:val="00A26481"/>
    <w:rPr>
      <w:sz w:val="20"/>
      <w:szCs w:val="20"/>
    </w:rPr>
  </w:style>
  <w:style w:type="paragraph" w:styleId="CommentSubject">
    <w:name w:val="annotation subject"/>
    <w:basedOn w:val="CommentText"/>
    <w:next w:val="CommentText"/>
    <w:link w:val="CommentSubjectChar"/>
    <w:uiPriority w:val="99"/>
    <w:semiHidden/>
    <w:unhideWhenUsed/>
    <w:rsid w:val="00A26481"/>
    <w:rPr>
      <w:b/>
      <w:bCs/>
    </w:rPr>
  </w:style>
  <w:style w:type="character" w:customStyle="1" w:styleId="CommentSubjectChar">
    <w:name w:val="Comment Subject Char"/>
    <w:basedOn w:val="CommentTextChar"/>
    <w:link w:val="CommentSubject"/>
    <w:uiPriority w:val="99"/>
    <w:semiHidden/>
    <w:rsid w:val="00A26481"/>
    <w:rPr>
      <w:b/>
      <w:bCs/>
      <w:sz w:val="20"/>
      <w:szCs w:val="20"/>
    </w:rPr>
  </w:style>
  <w:style w:type="paragraph" w:styleId="BalloonText">
    <w:name w:val="Balloon Text"/>
    <w:basedOn w:val="Normal"/>
    <w:link w:val="BalloonTextChar"/>
    <w:uiPriority w:val="99"/>
    <w:semiHidden/>
    <w:unhideWhenUsed/>
    <w:rsid w:val="00A264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7012">
      <w:bodyDiv w:val="1"/>
      <w:marLeft w:val="0"/>
      <w:marRight w:val="0"/>
      <w:marTop w:val="0"/>
      <w:marBottom w:val="0"/>
      <w:divBdr>
        <w:top w:val="none" w:sz="0" w:space="0" w:color="auto"/>
        <w:left w:val="none" w:sz="0" w:space="0" w:color="auto"/>
        <w:bottom w:val="none" w:sz="0" w:space="0" w:color="auto"/>
        <w:right w:val="none" w:sz="0" w:space="0" w:color="auto"/>
      </w:divBdr>
      <w:divsChild>
        <w:div w:id="249851161">
          <w:marLeft w:val="0"/>
          <w:marRight w:val="0"/>
          <w:marTop w:val="0"/>
          <w:marBottom w:val="0"/>
          <w:divBdr>
            <w:top w:val="none" w:sz="0" w:space="0" w:color="auto"/>
            <w:left w:val="none" w:sz="0" w:space="0" w:color="auto"/>
            <w:bottom w:val="none" w:sz="0" w:space="0" w:color="auto"/>
            <w:right w:val="none" w:sz="0" w:space="0" w:color="auto"/>
          </w:divBdr>
          <w:divsChild>
            <w:div w:id="1931229382">
              <w:marLeft w:val="0"/>
              <w:marRight w:val="0"/>
              <w:marTop w:val="0"/>
              <w:marBottom w:val="0"/>
              <w:divBdr>
                <w:top w:val="none" w:sz="0" w:space="0" w:color="auto"/>
                <w:left w:val="none" w:sz="0" w:space="0" w:color="auto"/>
                <w:bottom w:val="none" w:sz="0" w:space="0" w:color="auto"/>
                <w:right w:val="none" w:sz="0" w:space="0" w:color="auto"/>
              </w:divBdr>
              <w:divsChild>
                <w:div w:id="16914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262951">
          <w:marLeft w:val="0"/>
          <w:marRight w:val="0"/>
          <w:marTop w:val="0"/>
          <w:marBottom w:val="0"/>
          <w:divBdr>
            <w:top w:val="none" w:sz="0" w:space="0" w:color="auto"/>
            <w:left w:val="none" w:sz="0" w:space="0" w:color="auto"/>
            <w:bottom w:val="none" w:sz="0" w:space="0" w:color="auto"/>
            <w:right w:val="none" w:sz="0" w:space="0" w:color="auto"/>
          </w:divBdr>
          <w:divsChild>
            <w:div w:id="1979795035">
              <w:marLeft w:val="0"/>
              <w:marRight w:val="0"/>
              <w:marTop w:val="0"/>
              <w:marBottom w:val="0"/>
              <w:divBdr>
                <w:top w:val="none" w:sz="0" w:space="0" w:color="auto"/>
                <w:left w:val="none" w:sz="0" w:space="0" w:color="auto"/>
                <w:bottom w:val="none" w:sz="0" w:space="0" w:color="auto"/>
                <w:right w:val="none" w:sz="0" w:space="0" w:color="auto"/>
              </w:divBdr>
              <w:divsChild>
                <w:div w:id="10318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0471">
          <w:marLeft w:val="0"/>
          <w:marRight w:val="0"/>
          <w:marTop w:val="0"/>
          <w:marBottom w:val="0"/>
          <w:divBdr>
            <w:top w:val="none" w:sz="0" w:space="0" w:color="auto"/>
            <w:left w:val="none" w:sz="0" w:space="0" w:color="auto"/>
            <w:bottom w:val="none" w:sz="0" w:space="0" w:color="auto"/>
            <w:right w:val="none" w:sz="0" w:space="0" w:color="auto"/>
          </w:divBdr>
          <w:divsChild>
            <w:div w:id="729618627">
              <w:marLeft w:val="0"/>
              <w:marRight w:val="0"/>
              <w:marTop w:val="0"/>
              <w:marBottom w:val="0"/>
              <w:divBdr>
                <w:top w:val="none" w:sz="0" w:space="0" w:color="auto"/>
                <w:left w:val="none" w:sz="0" w:space="0" w:color="auto"/>
                <w:bottom w:val="none" w:sz="0" w:space="0" w:color="auto"/>
                <w:right w:val="none" w:sz="0" w:space="0" w:color="auto"/>
              </w:divBdr>
              <w:divsChild>
                <w:div w:id="92564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8714">
          <w:marLeft w:val="0"/>
          <w:marRight w:val="0"/>
          <w:marTop w:val="0"/>
          <w:marBottom w:val="0"/>
          <w:divBdr>
            <w:top w:val="none" w:sz="0" w:space="0" w:color="auto"/>
            <w:left w:val="none" w:sz="0" w:space="0" w:color="auto"/>
            <w:bottom w:val="none" w:sz="0" w:space="0" w:color="auto"/>
            <w:right w:val="none" w:sz="0" w:space="0" w:color="auto"/>
          </w:divBdr>
          <w:divsChild>
            <w:div w:id="378287085">
              <w:marLeft w:val="0"/>
              <w:marRight w:val="0"/>
              <w:marTop w:val="0"/>
              <w:marBottom w:val="0"/>
              <w:divBdr>
                <w:top w:val="none" w:sz="0" w:space="0" w:color="auto"/>
                <w:left w:val="none" w:sz="0" w:space="0" w:color="auto"/>
                <w:bottom w:val="none" w:sz="0" w:space="0" w:color="auto"/>
                <w:right w:val="none" w:sz="0" w:space="0" w:color="auto"/>
              </w:divBdr>
              <w:divsChild>
                <w:div w:id="1032918029">
                  <w:marLeft w:val="0"/>
                  <w:marRight w:val="0"/>
                  <w:marTop w:val="0"/>
                  <w:marBottom w:val="0"/>
                  <w:divBdr>
                    <w:top w:val="none" w:sz="0" w:space="0" w:color="auto"/>
                    <w:left w:val="none" w:sz="0" w:space="0" w:color="auto"/>
                    <w:bottom w:val="none" w:sz="0" w:space="0" w:color="auto"/>
                    <w:right w:val="none" w:sz="0" w:space="0" w:color="auto"/>
                  </w:divBdr>
                </w:div>
                <w:div w:id="918712752">
                  <w:marLeft w:val="0"/>
                  <w:marRight w:val="0"/>
                  <w:marTop w:val="0"/>
                  <w:marBottom w:val="0"/>
                  <w:divBdr>
                    <w:top w:val="none" w:sz="0" w:space="0" w:color="auto"/>
                    <w:left w:val="none" w:sz="0" w:space="0" w:color="auto"/>
                    <w:bottom w:val="none" w:sz="0" w:space="0" w:color="auto"/>
                    <w:right w:val="none" w:sz="0" w:space="0" w:color="auto"/>
                  </w:divBdr>
                </w:div>
              </w:divsChild>
            </w:div>
            <w:div w:id="472218099">
              <w:marLeft w:val="0"/>
              <w:marRight w:val="0"/>
              <w:marTop w:val="0"/>
              <w:marBottom w:val="0"/>
              <w:divBdr>
                <w:top w:val="none" w:sz="0" w:space="0" w:color="auto"/>
                <w:left w:val="none" w:sz="0" w:space="0" w:color="auto"/>
                <w:bottom w:val="none" w:sz="0" w:space="0" w:color="auto"/>
                <w:right w:val="none" w:sz="0" w:space="0" w:color="auto"/>
              </w:divBdr>
              <w:divsChild>
                <w:div w:id="4071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41085">
          <w:marLeft w:val="0"/>
          <w:marRight w:val="0"/>
          <w:marTop w:val="0"/>
          <w:marBottom w:val="0"/>
          <w:divBdr>
            <w:top w:val="none" w:sz="0" w:space="0" w:color="auto"/>
            <w:left w:val="none" w:sz="0" w:space="0" w:color="auto"/>
            <w:bottom w:val="none" w:sz="0" w:space="0" w:color="auto"/>
            <w:right w:val="none" w:sz="0" w:space="0" w:color="auto"/>
          </w:divBdr>
          <w:divsChild>
            <w:div w:id="748231527">
              <w:marLeft w:val="0"/>
              <w:marRight w:val="0"/>
              <w:marTop w:val="0"/>
              <w:marBottom w:val="0"/>
              <w:divBdr>
                <w:top w:val="none" w:sz="0" w:space="0" w:color="auto"/>
                <w:left w:val="none" w:sz="0" w:space="0" w:color="auto"/>
                <w:bottom w:val="none" w:sz="0" w:space="0" w:color="auto"/>
                <w:right w:val="none" w:sz="0" w:space="0" w:color="auto"/>
              </w:divBdr>
              <w:divsChild>
                <w:div w:id="996768781">
                  <w:marLeft w:val="0"/>
                  <w:marRight w:val="0"/>
                  <w:marTop w:val="0"/>
                  <w:marBottom w:val="0"/>
                  <w:divBdr>
                    <w:top w:val="none" w:sz="0" w:space="0" w:color="auto"/>
                    <w:left w:val="none" w:sz="0" w:space="0" w:color="auto"/>
                    <w:bottom w:val="none" w:sz="0" w:space="0" w:color="auto"/>
                    <w:right w:val="none" w:sz="0" w:space="0" w:color="auto"/>
                  </w:divBdr>
                </w:div>
              </w:divsChild>
            </w:div>
            <w:div w:id="1700737651">
              <w:marLeft w:val="0"/>
              <w:marRight w:val="0"/>
              <w:marTop w:val="0"/>
              <w:marBottom w:val="0"/>
              <w:divBdr>
                <w:top w:val="none" w:sz="0" w:space="0" w:color="auto"/>
                <w:left w:val="none" w:sz="0" w:space="0" w:color="auto"/>
                <w:bottom w:val="none" w:sz="0" w:space="0" w:color="auto"/>
                <w:right w:val="none" w:sz="0" w:space="0" w:color="auto"/>
              </w:divBdr>
              <w:divsChild>
                <w:div w:id="10295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FC33-0275-244D-8885-88CD25E52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1994</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Cromer</dc:creator>
  <cp:keywords/>
  <dc:description/>
  <cp:lastModifiedBy>Chris Cromer</cp:lastModifiedBy>
  <cp:revision>2</cp:revision>
  <dcterms:created xsi:type="dcterms:W3CDTF">2020-03-15T21:28:00Z</dcterms:created>
  <dcterms:modified xsi:type="dcterms:W3CDTF">2020-03-15T21:28:00Z</dcterms:modified>
</cp:coreProperties>
</file>