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986D5" w14:textId="77777777" w:rsidR="008F36C7" w:rsidRDefault="008F36C7" w:rsidP="008F36C7">
      <w:pPr>
        <w:pStyle w:val="NormalWeb"/>
      </w:pPr>
      <w:r>
        <w:rPr>
          <w:rFonts w:ascii="Calibri,Bold" w:hAnsi="Calibri,Bold"/>
          <w:sz w:val="48"/>
          <w:szCs w:val="48"/>
        </w:rPr>
        <w:t>DEFINITIONS</w:t>
      </w:r>
    </w:p>
    <w:p w14:paraId="27F41F6C" w14:textId="77777777" w:rsidR="008F36C7" w:rsidRPr="00F47BCD" w:rsidRDefault="008F36C7" w:rsidP="008F36C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F47BCD">
        <w:rPr>
          <w:rFonts w:ascii="Calibri" w:eastAsia="Times New Roman" w:hAnsi="Calibri" w:cs="Calibri"/>
          <w:b/>
          <w:bCs/>
          <w:sz w:val="22"/>
          <w:szCs w:val="22"/>
        </w:rPr>
        <w:t>Version Control</w:t>
      </w:r>
      <w:r w:rsidRPr="00F47BCD">
        <w:rPr>
          <w:rFonts w:ascii="Calibri" w:eastAsia="Times New Roman" w:hAnsi="Calibri" w:cs="Calibri"/>
          <w:sz w:val="22"/>
          <w:szCs w:val="22"/>
        </w:rPr>
        <w:t xml:space="preserve">: 1.0 </w:t>
      </w:r>
    </w:p>
    <w:p w14:paraId="40858A01" w14:textId="275073F5" w:rsidR="008F36C7" w:rsidRPr="008F36C7" w:rsidRDefault="008F36C7" w:rsidP="008F36C7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454C5F">
        <w:rPr>
          <w:rFonts w:ascii="Calibri" w:eastAsia="Times New Roman" w:hAnsi="Calibri" w:cs="Calibri"/>
          <w:b/>
          <w:bCs/>
          <w:sz w:val="22"/>
          <w:szCs w:val="22"/>
        </w:rPr>
        <w:t>Date of Implementation</w:t>
      </w:r>
      <w:r w:rsidRPr="00454C5F">
        <w:rPr>
          <w:rFonts w:ascii="Calibri" w:eastAsia="Times New Roman" w:hAnsi="Calibri" w:cs="Calibri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z w:val="22"/>
          <w:szCs w:val="22"/>
        </w:rPr>
        <w:t>February 28, 2020</w:t>
      </w:r>
    </w:p>
    <w:p w14:paraId="7836EA8B" w14:textId="58A60D7B" w:rsidR="008F36C7" w:rsidRPr="00A54ECA" w:rsidRDefault="008F36C7" w:rsidP="00A54ECA">
      <w:pPr>
        <w:rPr>
          <w:rFonts w:ascii="Times New Roman" w:eastAsia="Times New Roman" w:hAnsi="Times New Roman" w:cs="Times New Roman"/>
        </w:rPr>
      </w:pPr>
      <w:r w:rsidRPr="00C15BD4">
        <w:rPr>
          <w:rFonts w:ascii="Calibri,Bold" w:hAnsi="Calibri,Bold"/>
          <w:b/>
          <w:bCs/>
          <w:sz w:val="22"/>
          <w:szCs w:val="22"/>
        </w:rPr>
        <w:t>Applicant</w:t>
      </w:r>
      <w:r>
        <w:rPr>
          <w:rFonts w:ascii="Calibri" w:hAnsi="Calibri"/>
          <w:sz w:val="22"/>
          <w:szCs w:val="22"/>
        </w:rPr>
        <w:t xml:space="preserve">: </w:t>
      </w:r>
      <w:r w:rsidR="00A54ECA" w:rsidRPr="00A54ECA">
        <w:rPr>
          <w:rFonts w:ascii="Calibri" w:eastAsia="Times New Roman" w:hAnsi="Calibri" w:cs="Times New Roman"/>
          <w:sz w:val="22"/>
          <w:szCs w:val="22"/>
        </w:rPr>
        <w:t>An individual, business or other organization that requests registration of a domain name in .CPA</w:t>
      </w:r>
      <w:r w:rsidR="00A54ECA" w:rsidRPr="00A54ECA">
        <w:rPr>
          <w:rFonts w:ascii="Calibri" w:eastAsia="Times New Roman" w:hAnsi="Calibri" w:cs="Times New Roman"/>
          <w:sz w:val="22"/>
          <w:szCs w:val="22"/>
        </w:rPr>
        <w:t>.</w:t>
      </w:r>
    </w:p>
    <w:p w14:paraId="6DD0CBFB" w14:textId="60389250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Common Community Name</w:t>
      </w:r>
      <w:r>
        <w:rPr>
          <w:rFonts w:ascii="Calibri" w:hAnsi="Calibri"/>
          <w:sz w:val="22"/>
          <w:szCs w:val="22"/>
        </w:rPr>
        <w:t>: A frequently used word or phrase that many businesses or organizations in the Accounting, Public Accounting, and/or financial services communities have included either in whole or in part in that business or organization’s trademark, trade name or service mark</w:t>
      </w:r>
      <w:r w:rsidR="00D829D4">
        <w:rPr>
          <w:rFonts w:ascii="Calibri" w:hAnsi="Calibri"/>
          <w:sz w:val="22"/>
          <w:szCs w:val="22"/>
        </w:rPr>
        <w:t>.</w:t>
      </w:r>
    </w:p>
    <w:p w14:paraId="13AD7555" w14:textId="77777777" w:rsidR="00B63925" w:rsidRDefault="008F36C7" w:rsidP="008F36C7">
      <w:pPr>
        <w:pStyle w:val="NormalWeb"/>
        <w:rPr>
          <w:rFonts w:ascii="Calibri" w:hAnsi="Calibri"/>
          <w:sz w:val="22"/>
          <w:szCs w:val="22"/>
        </w:rPr>
      </w:pPr>
      <w:r w:rsidRPr="00C15BD4">
        <w:rPr>
          <w:rFonts w:ascii="Calibri,Bold" w:hAnsi="Calibri,Bold"/>
          <w:b/>
          <w:bCs/>
          <w:sz w:val="22"/>
          <w:szCs w:val="22"/>
        </w:rPr>
        <w:t>Consensus</w:t>
      </w:r>
      <w:r>
        <w:rPr>
          <w:rFonts w:ascii="Calibri" w:hAnsi="Calibri"/>
          <w:sz w:val="22"/>
          <w:szCs w:val="22"/>
        </w:rPr>
        <w:t>: The decision of a majority of Advisory Council members present at a meeting provided a quorum (defined as a number more than half the total membership) exists to take such a decision.</w:t>
      </w:r>
    </w:p>
    <w:p w14:paraId="528FAA93" w14:textId="0A4929C4" w:rsidR="00B63925" w:rsidRPr="008F2D37" w:rsidRDefault="00B63925" w:rsidP="008F36C7">
      <w:pPr>
        <w:pStyle w:val="NormalWeb"/>
        <w:rPr>
          <w:rFonts w:ascii="Calibri" w:hAnsi="Calibri"/>
          <w:sz w:val="22"/>
          <w:szCs w:val="22"/>
        </w:rPr>
      </w:pPr>
      <w:proofErr w:type="gramStart"/>
      <w:r w:rsidRPr="008F2D37">
        <w:rPr>
          <w:rFonts w:ascii="Calibri" w:hAnsi="Calibri"/>
          <w:b/>
          <w:bCs/>
          <w:sz w:val="22"/>
          <w:szCs w:val="22"/>
        </w:rPr>
        <w:t>.CPA</w:t>
      </w:r>
      <w:proofErr w:type="gramEnd"/>
      <w:r>
        <w:rPr>
          <w:rFonts w:ascii="Calibri" w:hAnsi="Calibri"/>
          <w:sz w:val="22"/>
          <w:szCs w:val="22"/>
        </w:rPr>
        <w:t>:  the top-level domain (TLD) for the string .CPA</w:t>
      </w:r>
    </w:p>
    <w:p w14:paraId="52872020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Forum</w:t>
      </w:r>
      <w:r>
        <w:rPr>
          <w:rFonts w:ascii="Calibri" w:hAnsi="Calibri"/>
          <w:sz w:val="22"/>
          <w:szCs w:val="22"/>
        </w:rPr>
        <w:t xml:space="preserve">: The National Arbitration Forum that administers Registry Operator’s Registration Eligibility Dispute Resolution Policy, Reserved Names Challenge Policy and Sunrise Eligibility Dispute Resolution Policy. </w:t>
      </w:r>
    </w:p>
    <w:p w14:paraId="24E8580C" w14:textId="64D2EB25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Generic Name</w:t>
      </w:r>
      <w:r>
        <w:rPr>
          <w:rFonts w:ascii="Calibri" w:hAnsi="Calibri"/>
          <w:sz w:val="22"/>
          <w:szCs w:val="22"/>
        </w:rPr>
        <w:t xml:space="preserve">: A word or phrase commonly associated with goods/services in the </w:t>
      </w:r>
      <w:r w:rsidR="00C15BD4">
        <w:rPr>
          <w:rFonts w:ascii="Calibri" w:hAnsi="Calibri"/>
          <w:sz w:val="22"/>
          <w:szCs w:val="22"/>
        </w:rPr>
        <w:t xml:space="preserve">accounting or </w:t>
      </w:r>
      <w:r>
        <w:rPr>
          <w:rFonts w:ascii="Calibri" w:hAnsi="Calibri"/>
          <w:sz w:val="22"/>
          <w:szCs w:val="22"/>
        </w:rPr>
        <w:t xml:space="preserve">financial services communities (e.g., </w:t>
      </w:r>
      <w:r w:rsidR="00C15BD4">
        <w:rPr>
          <w:rFonts w:ascii="Calibri" w:hAnsi="Calibri"/>
          <w:sz w:val="22"/>
          <w:szCs w:val="22"/>
        </w:rPr>
        <w:t>audit</w:t>
      </w:r>
      <w:r>
        <w:rPr>
          <w:rFonts w:ascii="Calibri" w:hAnsi="Calibri"/>
          <w:sz w:val="22"/>
          <w:szCs w:val="22"/>
        </w:rPr>
        <w:t xml:space="preserve">(s), </w:t>
      </w:r>
      <w:r w:rsidR="00C15BD4">
        <w:rPr>
          <w:rFonts w:ascii="Calibri" w:hAnsi="Calibri"/>
          <w:sz w:val="22"/>
          <w:szCs w:val="22"/>
        </w:rPr>
        <w:t>tax</w:t>
      </w:r>
      <w:r>
        <w:rPr>
          <w:rFonts w:ascii="Calibri" w:hAnsi="Calibri"/>
          <w:sz w:val="22"/>
          <w:szCs w:val="22"/>
        </w:rPr>
        <w:t>(</w:t>
      </w:r>
      <w:r w:rsidR="00C15BD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s)</w:t>
      </w:r>
      <w:r w:rsidR="00C15BD4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. </w:t>
      </w:r>
    </w:p>
    <w:p w14:paraId="008697D5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Manager</w:t>
      </w:r>
      <w:r>
        <w:rPr>
          <w:rFonts w:ascii="Calibri" w:hAnsi="Calibri"/>
          <w:sz w:val="22"/>
          <w:szCs w:val="22"/>
        </w:rPr>
        <w:t xml:space="preserve">: The Registry Operator representative that will provide secretariat support to the Advisory Council. </w:t>
      </w:r>
    </w:p>
    <w:p w14:paraId="467B8731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Operating Manager</w:t>
      </w:r>
      <w:r>
        <w:rPr>
          <w:rFonts w:ascii="Calibri" w:hAnsi="Calibri"/>
          <w:sz w:val="22"/>
          <w:szCs w:val="22"/>
        </w:rPr>
        <w:t xml:space="preserve">: The American Bankers Association and the Financial Services Roundtable. </w:t>
      </w:r>
    </w:p>
    <w:p w14:paraId="0BFE4137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Panel/Panelist</w:t>
      </w:r>
      <w:r>
        <w:rPr>
          <w:rFonts w:ascii="Calibri" w:hAnsi="Calibri"/>
          <w:sz w:val="22"/>
          <w:szCs w:val="22"/>
        </w:rPr>
        <w:t xml:space="preserve">: The party responsible for rendering a decision in a complaint pursuant to Registry Operator’s Registration Eligibility Dispute Resolution Policy, Reserved Names Challenge Policy or Sunrise Eligibility Dispute Resolution Policy. </w:t>
      </w:r>
    </w:p>
    <w:p w14:paraId="341894D3" w14:textId="33D407A4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Registrant</w:t>
      </w:r>
      <w:r>
        <w:rPr>
          <w:rFonts w:ascii="Calibri" w:hAnsi="Calibri"/>
          <w:sz w:val="22"/>
          <w:szCs w:val="22"/>
        </w:rPr>
        <w:t xml:space="preserve">: The holder of a domain-name registration in </w:t>
      </w:r>
      <w:proofErr w:type="gramStart"/>
      <w:r>
        <w:rPr>
          <w:rFonts w:ascii="Calibri" w:hAnsi="Calibri"/>
          <w:sz w:val="22"/>
          <w:szCs w:val="22"/>
        </w:rPr>
        <w:t xml:space="preserve">the </w:t>
      </w:r>
      <w:r w:rsidR="00B63925">
        <w:rPr>
          <w:rFonts w:ascii="Calibri" w:hAnsi="Calibri"/>
          <w:sz w:val="22"/>
          <w:szCs w:val="22"/>
        </w:rPr>
        <w:t>.CPA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2E12452F" w14:textId="6835FB54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Registration Eligibility Dispute Resolution Policy</w:t>
      </w:r>
      <w:r>
        <w:rPr>
          <w:rFonts w:ascii="Calibri,Bold" w:hAnsi="Calibri,Bold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The challenge process administered by the National Arbitration Forum for a domain name registration that was improperly granted/denied under </w:t>
      </w:r>
      <w:r w:rsidR="00C15BD4">
        <w:rPr>
          <w:rFonts w:ascii="Calibri" w:hAnsi="Calibri"/>
          <w:sz w:val="22"/>
          <w:szCs w:val="22"/>
        </w:rPr>
        <w:t>AICPA’s</w:t>
      </w:r>
      <w:r>
        <w:rPr>
          <w:rFonts w:ascii="Calibri" w:hAnsi="Calibri"/>
          <w:sz w:val="22"/>
          <w:szCs w:val="22"/>
        </w:rPr>
        <w:t xml:space="preserve"> Registrant Eligibility Policy for </w:t>
      </w:r>
      <w:proofErr w:type="gramStart"/>
      <w:r>
        <w:rPr>
          <w:rFonts w:ascii="Calibri" w:hAnsi="Calibri"/>
          <w:sz w:val="22"/>
          <w:szCs w:val="22"/>
        </w:rPr>
        <w:t xml:space="preserve">the </w:t>
      </w:r>
      <w:r w:rsidR="00B63925">
        <w:rPr>
          <w:rFonts w:ascii="Calibri" w:hAnsi="Calibri"/>
          <w:sz w:val="22"/>
          <w:szCs w:val="22"/>
        </w:rPr>
        <w:t>.CPA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0DF4F072" w14:textId="79F7B186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Registrar</w:t>
      </w:r>
      <w:r>
        <w:rPr>
          <w:rFonts w:ascii="Calibri" w:hAnsi="Calibri"/>
          <w:sz w:val="22"/>
          <w:szCs w:val="22"/>
        </w:rPr>
        <w:t xml:space="preserve">: An entity that has a Registrar Accreditation Agreement with ICANN and has a Registry- Registrar Agreement with </w:t>
      </w:r>
      <w:r w:rsidR="00C15BD4">
        <w:rPr>
          <w:rFonts w:ascii="Calibri" w:hAnsi="Calibri"/>
          <w:sz w:val="22"/>
          <w:szCs w:val="22"/>
        </w:rPr>
        <w:t>AICPA</w:t>
      </w:r>
      <w:r>
        <w:rPr>
          <w:rFonts w:ascii="Calibri" w:hAnsi="Calibri"/>
          <w:sz w:val="22"/>
          <w:szCs w:val="22"/>
        </w:rPr>
        <w:t xml:space="preserve"> for the distribution of domain names </w:t>
      </w:r>
      <w:proofErr w:type="gramStart"/>
      <w:r>
        <w:rPr>
          <w:rFonts w:ascii="Calibri" w:hAnsi="Calibri"/>
          <w:sz w:val="22"/>
          <w:szCs w:val="22"/>
        </w:rPr>
        <w:t xml:space="preserve">in </w:t>
      </w:r>
      <w:r w:rsidR="00B63925">
        <w:rPr>
          <w:rFonts w:ascii="Calibri" w:hAnsi="Calibri"/>
          <w:sz w:val="22"/>
          <w:szCs w:val="22"/>
        </w:rPr>
        <w:t>.CPA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08B90D20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lastRenderedPageBreak/>
        <w:t>Registrar Accreditation Agreement</w:t>
      </w:r>
      <w:r>
        <w:rPr>
          <w:rFonts w:ascii="Calibri" w:hAnsi="Calibri"/>
          <w:sz w:val="22"/>
          <w:szCs w:val="22"/>
        </w:rPr>
        <w:t xml:space="preserve">: The agreement between a Registrar and ICANN for the distribution of domain names. </w:t>
      </w:r>
    </w:p>
    <w:p w14:paraId="2451E7B9" w14:textId="77777777" w:rsidR="00C16EB5" w:rsidRDefault="008F36C7" w:rsidP="008F36C7">
      <w:pPr>
        <w:pStyle w:val="NormalWeb"/>
        <w:rPr>
          <w:rFonts w:ascii="Calibri,Bold" w:hAnsi="Calibri,Bold"/>
          <w:sz w:val="22"/>
          <w:szCs w:val="22"/>
        </w:rPr>
      </w:pPr>
      <w:r w:rsidRPr="00C15BD4">
        <w:rPr>
          <w:rFonts w:ascii="Calibri,Bold" w:hAnsi="Calibri,Bold"/>
          <w:b/>
          <w:bCs/>
          <w:sz w:val="22"/>
          <w:szCs w:val="22"/>
        </w:rPr>
        <w:t>Registration Agreement</w:t>
      </w:r>
      <w:r>
        <w:rPr>
          <w:rFonts w:ascii="Calibri" w:hAnsi="Calibri"/>
          <w:sz w:val="22"/>
          <w:szCs w:val="22"/>
        </w:rPr>
        <w:t>: The agreement between a Registrar and Registrant.</w:t>
      </w:r>
      <w:r>
        <w:rPr>
          <w:rFonts w:ascii="Calibri" w:hAnsi="Calibri"/>
          <w:sz w:val="22"/>
          <w:szCs w:val="22"/>
        </w:rPr>
        <w:br/>
      </w:r>
    </w:p>
    <w:p w14:paraId="56BBD971" w14:textId="2E624855" w:rsidR="00BA1BAA" w:rsidRDefault="008F36C7" w:rsidP="008F36C7">
      <w:pPr>
        <w:pStyle w:val="NormalWeb"/>
        <w:rPr>
          <w:rFonts w:ascii="Calibri,Bold" w:hAnsi="Calibri,Bold"/>
          <w:b/>
          <w:bCs/>
          <w:sz w:val="22"/>
          <w:szCs w:val="22"/>
        </w:rPr>
      </w:pPr>
      <w:r w:rsidRPr="008F2D37">
        <w:rPr>
          <w:rFonts w:ascii="Calibri,Bold" w:hAnsi="Calibri,Bold"/>
          <w:b/>
          <w:sz w:val="22"/>
          <w:szCs w:val="22"/>
        </w:rPr>
        <w:t>Registry Agreemen</w:t>
      </w:r>
      <w:r>
        <w:rPr>
          <w:rFonts w:ascii="Calibri,Bold" w:hAnsi="Calibri,Bold"/>
          <w:sz w:val="22"/>
          <w:szCs w:val="22"/>
        </w:rPr>
        <w:t xml:space="preserve">t: </w:t>
      </w:r>
      <w:r>
        <w:rPr>
          <w:rFonts w:ascii="Calibri" w:hAnsi="Calibri"/>
          <w:sz w:val="22"/>
          <w:szCs w:val="22"/>
        </w:rPr>
        <w:t xml:space="preserve">The agreement between </w:t>
      </w:r>
      <w:r w:rsidR="00C15BD4">
        <w:rPr>
          <w:rFonts w:ascii="Calibri" w:hAnsi="Calibri"/>
          <w:sz w:val="22"/>
          <w:szCs w:val="22"/>
        </w:rPr>
        <w:t>AICPA</w:t>
      </w:r>
      <w:r>
        <w:rPr>
          <w:rFonts w:ascii="Calibri" w:hAnsi="Calibri"/>
          <w:sz w:val="22"/>
          <w:szCs w:val="22"/>
        </w:rPr>
        <w:t xml:space="preserve"> and ICANN for the </w:t>
      </w:r>
      <w:r w:rsidR="005B03A1">
        <w:rPr>
          <w:rFonts w:ascii="Calibri" w:hAnsi="Calibri"/>
          <w:sz w:val="22"/>
          <w:szCs w:val="22"/>
        </w:rPr>
        <w:t xml:space="preserve">operation of </w:t>
      </w:r>
      <w:proofErr w:type="gramStart"/>
      <w:r w:rsidR="005B03A1">
        <w:rPr>
          <w:rFonts w:ascii="Calibri" w:hAnsi="Calibri"/>
          <w:sz w:val="22"/>
          <w:szCs w:val="22"/>
        </w:rPr>
        <w:t xml:space="preserve">the </w:t>
      </w:r>
      <w:r w:rsidR="00B63925">
        <w:rPr>
          <w:rFonts w:ascii="Calibri" w:hAnsi="Calibri"/>
          <w:sz w:val="22"/>
          <w:szCs w:val="22"/>
        </w:rPr>
        <w:t>.CPA</w:t>
      </w:r>
      <w:proofErr w:type="gramEnd"/>
      <w:r>
        <w:rPr>
          <w:rFonts w:ascii="Calibri" w:hAnsi="Calibri"/>
          <w:sz w:val="22"/>
          <w:szCs w:val="22"/>
        </w:rPr>
        <w:t xml:space="preserve"> Top- Level Domain.</w:t>
      </w:r>
    </w:p>
    <w:p w14:paraId="332FFA5F" w14:textId="0B7DB90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Registry Operator</w:t>
      </w:r>
      <w:r>
        <w:rPr>
          <w:rFonts w:ascii="Calibri" w:hAnsi="Calibri"/>
          <w:sz w:val="22"/>
          <w:szCs w:val="22"/>
        </w:rPr>
        <w:t xml:space="preserve">: </w:t>
      </w:r>
      <w:r w:rsidR="007E3658">
        <w:rPr>
          <w:rFonts w:ascii="Calibri" w:hAnsi="Calibri"/>
          <w:sz w:val="22"/>
          <w:szCs w:val="22"/>
        </w:rPr>
        <w:t>A</w:t>
      </w:r>
      <w:r w:rsidR="007E3658" w:rsidRPr="007E3658">
        <w:rPr>
          <w:rFonts w:ascii="Calibri" w:hAnsi="Calibri"/>
          <w:sz w:val="22"/>
          <w:szCs w:val="22"/>
        </w:rPr>
        <w:t xml:space="preserve">merican Institute of Certified Public Accountants, a not-for-profit corporation formed under the laws of the District of Columbia </w:t>
      </w:r>
      <w:r w:rsidR="007E3658">
        <w:rPr>
          <w:rFonts w:ascii="Calibri" w:hAnsi="Calibri"/>
          <w:sz w:val="22"/>
          <w:szCs w:val="22"/>
        </w:rPr>
        <w:t>or (“</w:t>
      </w:r>
      <w:r w:rsidR="007E3F37">
        <w:rPr>
          <w:rFonts w:ascii="Calibri" w:hAnsi="Calibri"/>
          <w:sz w:val="22"/>
          <w:szCs w:val="22"/>
        </w:rPr>
        <w:t>AICPA</w:t>
      </w:r>
      <w:r w:rsidR="007E3658">
        <w:rPr>
          <w:rFonts w:ascii="Calibri" w:hAnsi="Calibri"/>
          <w:sz w:val="22"/>
          <w:szCs w:val="22"/>
        </w:rPr>
        <w:t>”).</w:t>
      </w:r>
      <w:r w:rsidR="007E3F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14:paraId="52A4CECD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Registry Policy(</w:t>
      </w:r>
      <w:proofErr w:type="spellStart"/>
      <w:r w:rsidRPr="00C15BD4">
        <w:rPr>
          <w:rFonts w:ascii="Calibri,Bold" w:hAnsi="Calibri,Bold"/>
          <w:b/>
          <w:bCs/>
          <w:sz w:val="22"/>
          <w:szCs w:val="22"/>
        </w:rPr>
        <w:t>ies</w:t>
      </w:r>
      <w:proofErr w:type="spellEnd"/>
      <w:r w:rsidRPr="00C15BD4">
        <w:rPr>
          <w:rFonts w:ascii="Calibri,Bold" w:hAnsi="Calibri,Bold"/>
          <w:b/>
          <w:bCs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: Policy(</w:t>
      </w:r>
      <w:proofErr w:type="spellStart"/>
      <w:r>
        <w:rPr>
          <w:rFonts w:ascii="Calibri" w:hAnsi="Calibri"/>
          <w:sz w:val="22"/>
          <w:szCs w:val="22"/>
        </w:rPr>
        <w:t>ies</w:t>
      </w:r>
      <w:proofErr w:type="spellEnd"/>
      <w:r>
        <w:rPr>
          <w:rFonts w:ascii="Calibri" w:hAnsi="Calibri"/>
          <w:sz w:val="22"/>
          <w:szCs w:val="22"/>
        </w:rPr>
        <w:t>) that relate to the registration and use of domain names (e.g., acceptable use / anti-abuse, eligibility, name selection, name allocation). These Policy(</w:t>
      </w:r>
      <w:proofErr w:type="spellStart"/>
      <w:r>
        <w:rPr>
          <w:rFonts w:ascii="Calibri" w:hAnsi="Calibri"/>
          <w:sz w:val="22"/>
          <w:szCs w:val="22"/>
        </w:rPr>
        <w:t>ies</w:t>
      </w:r>
      <w:proofErr w:type="spellEnd"/>
      <w:r>
        <w:rPr>
          <w:rFonts w:ascii="Calibri" w:hAnsi="Calibri"/>
          <w:sz w:val="22"/>
          <w:szCs w:val="22"/>
        </w:rPr>
        <w:t xml:space="preserve">) DO NOT include any corporate governance policies or operational practices (e.g., human resource) that are not specifically enumerated in the Registry Agreement. </w:t>
      </w:r>
    </w:p>
    <w:p w14:paraId="179E6278" w14:textId="57BDB3A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Registry-Registrar Agreement</w:t>
      </w:r>
      <w:r>
        <w:rPr>
          <w:rFonts w:ascii="Calibri" w:hAnsi="Calibri"/>
          <w:sz w:val="22"/>
          <w:szCs w:val="22"/>
        </w:rPr>
        <w:t xml:space="preserve">: The agreement between a Registrar and </w:t>
      </w:r>
      <w:r w:rsidR="007E3658">
        <w:rPr>
          <w:rFonts w:ascii="Calibri" w:hAnsi="Calibri"/>
          <w:sz w:val="22"/>
          <w:szCs w:val="22"/>
        </w:rPr>
        <w:t>AICPA</w:t>
      </w:r>
      <w:r>
        <w:rPr>
          <w:rFonts w:ascii="Calibri" w:hAnsi="Calibri"/>
          <w:sz w:val="22"/>
          <w:szCs w:val="22"/>
        </w:rPr>
        <w:t xml:space="preserve"> for the distribution of domain names </w:t>
      </w:r>
      <w:proofErr w:type="gramStart"/>
      <w:r>
        <w:rPr>
          <w:rFonts w:ascii="Calibri" w:hAnsi="Calibri"/>
          <w:sz w:val="22"/>
          <w:szCs w:val="22"/>
        </w:rPr>
        <w:t xml:space="preserve">in </w:t>
      </w:r>
      <w:r w:rsidR="00B63925">
        <w:rPr>
          <w:rFonts w:ascii="Calibri" w:hAnsi="Calibri"/>
          <w:sz w:val="22"/>
          <w:szCs w:val="22"/>
        </w:rPr>
        <w:t>.CPA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323460D3" w14:textId="23A1E5DC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Registry Service Provide</w:t>
      </w:r>
      <w:r>
        <w:rPr>
          <w:rFonts w:ascii="Calibri,Bold" w:hAnsi="Calibri,Bold"/>
          <w:sz w:val="22"/>
          <w:szCs w:val="22"/>
        </w:rPr>
        <w:t xml:space="preserve">r: </w:t>
      </w:r>
      <w:r>
        <w:rPr>
          <w:rFonts w:ascii="Calibri" w:hAnsi="Calibri"/>
          <w:sz w:val="22"/>
          <w:szCs w:val="22"/>
        </w:rPr>
        <w:t xml:space="preserve">The entity that provides Registry System functionality for Registry Operator. </w:t>
      </w:r>
      <w:r>
        <w:rPr>
          <w:rFonts w:ascii="Calibri,Bold" w:hAnsi="Calibri,Bold"/>
          <w:sz w:val="22"/>
          <w:szCs w:val="22"/>
        </w:rPr>
        <w:t xml:space="preserve">Registry System: </w:t>
      </w:r>
      <w:r>
        <w:rPr>
          <w:rFonts w:ascii="Calibri" w:hAnsi="Calibri"/>
          <w:sz w:val="22"/>
          <w:szCs w:val="22"/>
        </w:rPr>
        <w:t xml:space="preserve">The system for registered names </w:t>
      </w:r>
      <w:proofErr w:type="gramStart"/>
      <w:r>
        <w:rPr>
          <w:rFonts w:ascii="Calibri" w:hAnsi="Calibri"/>
          <w:sz w:val="22"/>
          <w:szCs w:val="22"/>
        </w:rPr>
        <w:t xml:space="preserve">in </w:t>
      </w:r>
      <w:r w:rsidR="00B63925">
        <w:rPr>
          <w:rFonts w:ascii="Calibri" w:hAnsi="Calibri"/>
          <w:sz w:val="22"/>
          <w:szCs w:val="22"/>
        </w:rPr>
        <w:t>.CPA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1E734038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Report</w:t>
      </w:r>
      <w:r w:rsidRPr="00C15BD4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The Issues Report developed for the Advisory Council to consider taking action on a current or proposed new Registry Policy. </w:t>
      </w:r>
    </w:p>
    <w:p w14:paraId="46735559" w14:textId="14FBFABF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Reserved Names Challenge Policy</w:t>
      </w:r>
      <w:r>
        <w:rPr>
          <w:rFonts w:ascii="Calibri" w:hAnsi="Calibri"/>
          <w:sz w:val="22"/>
          <w:szCs w:val="22"/>
        </w:rPr>
        <w:t xml:space="preserve">: The challenge process administered by the Forum to request allocation of a domain name on </w:t>
      </w:r>
      <w:r w:rsidR="00C15BD4">
        <w:rPr>
          <w:rFonts w:ascii="Calibri" w:hAnsi="Calibri"/>
          <w:sz w:val="22"/>
          <w:szCs w:val="22"/>
        </w:rPr>
        <w:t>“AICPA’s”</w:t>
      </w:r>
      <w:r>
        <w:rPr>
          <w:rFonts w:ascii="Calibri" w:hAnsi="Calibri"/>
          <w:sz w:val="22"/>
          <w:szCs w:val="22"/>
        </w:rPr>
        <w:t xml:space="preserve"> reserved names list or the allocation of a reserved name to a third party. </w:t>
      </w:r>
    </w:p>
    <w:p w14:paraId="519E093A" w14:textId="7777777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Standard N</w:t>
      </w:r>
      <w:r w:rsidRPr="007E3658">
        <w:rPr>
          <w:rFonts w:ascii="Calibri,Bold" w:hAnsi="Calibri,Bold"/>
          <w:b/>
          <w:bCs/>
          <w:sz w:val="22"/>
          <w:szCs w:val="22"/>
        </w:rPr>
        <w:t>a</w:t>
      </w:r>
      <w:r w:rsidRPr="008F2D37">
        <w:rPr>
          <w:rFonts w:ascii="Calibri,Bold" w:hAnsi="Calibri,Bold"/>
          <w:b/>
          <w:sz w:val="22"/>
          <w:szCs w:val="22"/>
        </w:rPr>
        <w:t>me</w:t>
      </w:r>
      <w:r>
        <w:rPr>
          <w:rFonts w:ascii="Calibri" w:hAnsi="Calibri"/>
          <w:sz w:val="22"/>
          <w:szCs w:val="22"/>
        </w:rPr>
        <w:t xml:space="preserve">: A word or phrase that corresponds to a trademark, trade name or service mark of a business or organization. </w:t>
      </w:r>
    </w:p>
    <w:p w14:paraId="03799EC7" w14:textId="440967A2" w:rsidR="00C15BD4" w:rsidRDefault="00C15BD4" w:rsidP="008F36C7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,Bold" w:hAnsi="Calibri,Bold"/>
          <w:b/>
          <w:bCs/>
          <w:sz w:val="22"/>
          <w:szCs w:val="22"/>
        </w:rPr>
        <w:t>End</w:t>
      </w:r>
      <w:r w:rsidR="008F36C7" w:rsidRPr="00C15BD4">
        <w:rPr>
          <w:rFonts w:ascii="Calibri,Bold" w:hAnsi="Calibri,Bold"/>
          <w:b/>
          <w:bCs/>
          <w:sz w:val="22"/>
          <w:szCs w:val="22"/>
        </w:rPr>
        <w:t>-Date Sunrise</w:t>
      </w:r>
      <w:r w:rsidR="008F36C7">
        <w:rPr>
          <w:rFonts w:ascii="Calibri" w:hAnsi="Calibri"/>
          <w:sz w:val="22"/>
          <w:szCs w:val="22"/>
        </w:rPr>
        <w:t xml:space="preserve">: Domain names during this period are allocated </w:t>
      </w:r>
      <w:r>
        <w:rPr>
          <w:rFonts w:ascii="Calibri" w:hAnsi="Calibri"/>
          <w:sz w:val="22"/>
          <w:szCs w:val="22"/>
        </w:rPr>
        <w:t>at the end of the period</w:t>
      </w:r>
      <w:r w:rsidR="008F36C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Allocation is determined based upon eligibility criteria and brand association.</w:t>
      </w:r>
    </w:p>
    <w:p w14:paraId="2049AC03" w14:textId="21CF325A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Sunrise Dispute Resolution Policy</w:t>
      </w:r>
      <w:r>
        <w:rPr>
          <w:rFonts w:ascii="Calibri" w:hAnsi="Calibri"/>
          <w:sz w:val="22"/>
          <w:szCs w:val="22"/>
        </w:rPr>
        <w:t xml:space="preserve">: The challenge process administered by the Forum for a domain name registration that was improperly granted/denied during the Sunrise period. </w:t>
      </w:r>
      <w:r>
        <w:rPr>
          <w:rFonts w:ascii="Calibri,Bold" w:hAnsi="Calibri,Bold"/>
          <w:sz w:val="22"/>
          <w:szCs w:val="22"/>
        </w:rPr>
        <w:t>.TLD</w:t>
      </w:r>
      <w:r>
        <w:rPr>
          <w:rFonts w:ascii="Calibri" w:hAnsi="Calibri"/>
          <w:sz w:val="22"/>
          <w:szCs w:val="22"/>
        </w:rPr>
        <w:t xml:space="preserve">: </w:t>
      </w:r>
      <w:r w:rsidR="00C15BD4">
        <w:rPr>
          <w:rFonts w:ascii="Calibri" w:hAnsi="Calibri"/>
          <w:sz w:val="22"/>
          <w:szCs w:val="22"/>
        </w:rPr>
        <w:t>includes .CPA only.</w:t>
      </w:r>
      <w:r>
        <w:rPr>
          <w:rFonts w:ascii="Calibri" w:hAnsi="Calibri"/>
          <w:sz w:val="22"/>
          <w:szCs w:val="22"/>
        </w:rPr>
        <w:t xml:space="preserve"> </w:t>
      </w:r>
    </w:p>
    <w:p w14:paraId="4558BBF7" w14:textId="2B151BB7" w:rsidR="008F36C7" w:rsidRDefault="008F36C7" w:rsidP="008F36C7">
      <w:pPr>
        <w:pStyle w:val="NormalWeb"/>
      </w:pPr>
      <w:r w:rsidRPr="00C15BD4">
        <w:rPr>
          <w:rFonts w:ascii="Calibri,Bold" w:hAnsi="Calibri,Bold"/>
          <w:b/>
          <w:bCs/>
          <w:sz w:val="22"/>
          <w:szCs w:val="22"/>
        </w:rPr>
        <w:t>Trademark Clearinghouse (TMCH)</w:t>
      </w:r>
      <w:r>
        <w:rPr>
          <w:rFonts w:ascii="Calibri" w:hAnsi="Calibri"/>
          <w:sz w:val="22"/>
          <w:szCs w:val="22"/>
        </w:rPr>
        <w:t xml:space="preserve">: The database of qualified trademarks that entitles a rights holder to a </w:t>
      </w:r>
      <w:r w:rsidR="005B03A1">
        <w:rPr>
          <w:rFonts w:ascii="Calibri" w:hAnsi="Calibri"/>
          <w:sz w:val="22"/>
          <w:szCs w:val="22"/>
        </w:rPr>
        <w:t>certain</w:t>
      </w:r>
      <w:r>
        <w:rPr>
          <w:rFonts w:ascii="Calibri" w:hAnsi="Calibri"/>
          <w:sz w:val="22"/>
          <w:szCs w:val="22"/>
        </w:rPr>
        <w:t xml:space="preserve"> Rights Protection Mechanisms</w:t>
      </w:r>
      <w:r w:rsidR="005B03A1">
        <w:rPr>
          <w:rFonts w:ascii="Calibri" w:hAnsi="Calibri"/>
          <w:sz w:val="22"/>
          <w:szCs w:val="22"/>
        </w:rPr>
        <w:t xml:space="preserve"> set forth in the Applicant Guidebook</w:t>
      </w:r>
      <w:r>
        <w:rPr>
          <w:rFonts w:ascii="Calibri" w:hAnsi="Calibri"/>
          <w:sz w:val="22"/>
          <w:szCs w:val="22"/>
        </w:rPr>
        <w:t xml:space="preserve">. </w:t>
      </w:r>
    </w:p>
    <w:p w14:paraId="2EE94BDF" w14:textId="77777777" w:rsidR="00E412BE" w:rsidRDefault="00461EB9"/>
    <w:sectPr w:rsidR="00E412BE" w:rsidSect="006C2C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A6EE4" w14:textId="77777777" w:rsidR="00461EB9" w:rsidRDefault="00461EB9" w:rsidP="007E3F37">
      <w:r>
        <w:separator/>
      </w:r>
    </w:p>
  </w:endnote>
  <w:endnote w:type="continuationSeparator" w:id="0">
    <w:p w14:paraId="4658363B" w14:textId="77777777" w:rsidR="00461EB9" w:rsidRDefault="00461EB9" w:rsidP="007E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6D65E" w14:textId="77777777" w:rsidR="00461EB9" w:rsidRDefault="00461EB9" w:rsidP="007E3F37">
      <w:r>
        <w:separator/>
      </w:r>
    </w:p>
  </w:footnote>
  <w:footnote w:type="continuationSeparator" w:id="0">
    <w:p w14:paraId="3C58A85A" w14:textId="77777777" w:rsidR="00461EB9" w:rsidRDefault="00461EB9" w:rsidP="007E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B9D98" w14:textId="2751019D" w:rsidR="007E3F37" w:rsidRDefault="007E3F37">
    <w:pPr>
      <w:pStyle w:val="Header"/>
    </w:pPr>
    <w:r w:rsidRPr="007E3F37">
      <w:rPr>
        <w:noProof/>
      </w:rPr>
      <w:drawing>
        <wp:inline distT="0" distB="0" distL="0" distR="0" wp14:anchorId="2065F9FE" wp14:editId="20C96186">
          <wp:extent cx="916879" cy="9337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452" cy="99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64BD5C" w14:textId="77777777" w:rsidR="007E3F37" w:rsidRDefault="007E3F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C7"/>
    <w:rsid w:val="00063A37"/>
    <w:rsid w:val="000D6767"/>
    <w:rsid w:val="00124912"/>
    <w:rsid w:val="00193602"/>
    <w:rsid w:val="00461EB9"/>
    <w:rsid w:val="004E6615"/>
    <w:rsid w:val="005A112D"/>
    <w:rsid w:val="005B03A1"/>
    <w:rsid w:val="006C2C04"/>
    <w:rsid w:val="007110A7"/>
    <w:rsid w:val="007E3658"/>
    <w:rsid w:val="007E3F37"/>
    <w:rsid w:val="00892AA3"/>
    <w:rsid w:val="008C0A40"/>
    <w:rsid w:val="008F2D37"/>
    <w:rsid w:val="008F36C7"/>
    <w:rsid w:val="009D789F"/>
    <w:rsid w:val="00A54ECA"/>
    <w:rsid w:val="00B63925"/>
    <w:rsid w:val="00BA1BAA"/>
    <w:rsid w:val="00C15BD4"/>
    <w:rsid w:val="00C16EB5"/>
    <w:rsid w:val="00D829D4"/>
    <w:rsid w:val="00E257E5"/>
    <w:rsid w:val="00E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F607C"/>
  <w14:defaultImageDpi w14:val="32767"/>
  <w15:chartTrackingRefBased/>
  <w15:docId w15:val="{E63E6C17-69D3-354E-9B1F-C3A8BC82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36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D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F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F37"/>
  </w:style>
  <w:style w:type="paragraph" w:styleId="Footer">
    <w:name w:val="footer"/>
    <w:basedOn w:val="Normal"/>
    <w:link w:val="FooterChar"/>
    <w:uiPriority w:val="99"/>
    <w:unhideWhenUsed/>
    <w:rsid w:val="007E3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F37"/>
  </w:style>
  <w:style w:type="character" w:styleId="CommentReference">
    <w:name w:val="annotation reference"/>
    <w:basedOn w:val="DefaultParagraphFont"/>
    <w:uiPriority w:val="99"/>
    <w:semiHidden/>
    <w:unhideWhenUsed/>
    <w:rsid w:val="00B6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Cromer</dc:creator>
  <cp:keywords/>
  <dc:description/>
  <cp:lastModifiedBy>Chris Cromer</cp:lastModifiedBy>
  <cp:revision>3</cp:revision>
  <dcterms:created xsi:type="dcterms:W3CDTF">2020-03-15T19:37:00Z</dcterms:created>
  <dcterms:modified xsi:type="dcterms:W3CDTF">2020-04-01T02:18:00Z</dcterms:modified>
</cp:coreProperties>
</file>