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462413" w14:textId="77777777" w:rsidR="00732F5B" w:rsidRPr="00627F74" w:rsidRDefault="00732F5B" w:rsidP="00732F5B">
      <w:pPr>
        <w:pStyle w:val="Title"/>
        <w:widowControl w:val="0"/>
        <w:contextualSpacing w:val="0"/>
        <w:jc w:val="center"/>
        <w:rPr>
          <w:rFonts w:ascii="Arial" w:hAnsi="Arial" w:cs="Arial"/>
          <w:color w:val="auto"/>
        </w:rPr>
      </w:pPr>
    </w:p>
    <w:p w14:paraId="04E2B0DE" w14:textId="77777777" w:rsidR="00732F5B" w:rsidRPr="00627F74" w:rsidRDefault="00732F5B" w:rsidP="00732F5B">
      <w:pPr>
        <w:pStyle w:val="Title"/>
        <w:widowControl w:val="0"/>
        <w:contextualSpacing w:val="0"/>
        <w:jc w:val="center"/>
        <w:rPr>
          <w:rFonts w:ascii="Arial" w:hAnsi="Arial" w:cs="Arial"/>
          <w:color w:val="auto"/>
        </w:rPr>
      </w:pPr>
    </w:p>
    <w:p w14:paraId="07A7DE76" w14:textId="77777777" w:rsidR="00732F5B" w:rsidRPr="00627F74" w:rsidRDefault="00732F5B" w:rsidP="00732F5B">
      <w:pPr>
        <w:pStyle w:val="Title"/>
        <w:widowControl w:val="0"/>
        <w:contextualSpacing w:val="0"/>
        <w:jc w:val="center"/>
        <w:rPr>
          <w:rFonts w:ascii="Arial" w:hAnsi="Arial" w:cs="Arial"/>
          <w:color w:val="auto"/>
        </w:rPr>
      </w:pPr>
    </w:p>
    <w:p w14:paraId="74BD2BB1" w14:textId="4026DA46" w:rsidR="00EC4689" w:rsidRPr="00627F74" w:rsidRDefault="00EC4689" w:rsidP="00EC4689">
      <w:pPr>
        <w:pStyle w:val="Normal1"/>
        <w:jc w:val="center"/>
        <w:rPr>
          <w:color w:val="auto"/>
        </w:rPr>
      </w:pPr>
      <w:bookmarkStart w:id="0" w:name="h.jws77z4uc9ws" w:colFirst="0" w:colLast="0"/>
      <w:bookmarkEnd w:id="0"/>
    </w:p>
    <w:p w14:paraId="59D8DF49" w14:textId="77777777" w:rsidR="00EC4689" w:rsidRPr="00627F74" w:rsidRDefault="00EC4689" w:rsidP="00EC4689">
      <w:pPr>
        <w:pStyle w:val="Normal1"/>
        <w:jc w:val="center"/>
        <w:rPr>
          <w:color w:val="auto"/>
        </w:rPr>
      </w:pPr>
    </w:p>
    <w:p w14:paraId="3CB638E7" w14:textId="77777777" w:rsidR="00EC4689" w:rsidRPr="00627F74" w:rsidRDefault="00EC4689">
      <w:pPr>
        <w:pStyle w:val="Title"/>
        <w:widowControl w:val="0"/>
        <w:contextualSpacing w:val="0"/>
        <w:jc w:val="center"/>
        <w:rPr>
          <w:rFonts w:ascii="Arial" w:hAnsi="Arial" w:cs="Arial"/>
          <w:color w:val="auto"/>
          <w:sz w:val="52"/>
        </w:rPr>
      </w:pPr>
    </w:p>
    <w:p w14:paraId="54D2FF4C" w14:textId="71DF4C71" w:rsidR="006915E8" w:rsidRDefault="00B447FC" w:rsidP="00B447FC">
      <w:pPr>
        <w:pStyle w:val="Title"/>
        <w:widowControl w:val="0"/>
        <w:contextualSpacing w:val="0"/>
        <w:rPr>
          <w:rFonts w:ascii="Arial" w:hAnsi="Arial" w:cs="Arial"/>
          <w:color w:val="auto"/>
          <w:sz w:val="52"/>
        </w:rPr>
      </w:pPr>
      <w:r>
        <w:rPr>
          <w:rFonts w:ascii="Arial" w:hAnsi="Arial" w:cs="Arial"/>
          <w:color w:val="auto"/>
          <w:sz w:val="52"/>
        </w:rPr>
        <w:t xml:space="preserve">           </w:t>
      </w:r>
      <w:r>
        <w:rPr>
          <w:noProof/>
        </w:rPr>
        <w:drawing>
          <wp:inline distT="0" distB="0" distL="0" distR="0" wp14:anchorId="6D903C36" wp14:editId="55B73668">
            <wp:extent cx="3968685" cy="76151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6792" cy="770744"/>
                    </a:xfrm>
                    <a:prstGeom prst="rect">
                      <a:avLst/>
                    </a:prstGeom>
                  </pic:spPr>
                </pic:pic>
              </a:graphicData>
            </a:graphic>
          </wp:inline>
        </w:drawing>
      </w:r>
    </w:p>
    <w:p w14:paraId="3B94A6D8" w14:textId="77777777" w:rsidR="00B447FC" w:rsidRDefault="00B447FC" w:rsidP="00B447FC">
      <w:pPr>
        <w:pStyle w:val="Normal1"/>
      </w:pPr>
      <w:r>
        <w:t xml:space="preserve">                        </w:t>
      </w:r>
      <w:r>
        <w:rPr>
          <w:noProof/>
        </w:rPr>
        <w:drawing>
          <wp:inline distT="0" distB="0" distL="0" distR="0" wp14:anchorId="34119E50" wp14:editId="3A8543E2">
            <wp:extent cx="2912882" cy="82752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8865" cy="849110"/>
                    </a:xfrm>
                    <a:prstGeom prst="rect">
                      <a:avLst/>
                    </a:prstGeom>
                  </pic:spPr>
                </pic:pic>
              </a:graphicData>
            </a:graphic>
          </wp:inline>
        </w:drawing>
      </w:r>
      <w:r>
        <w:t xml:space="preserve">  </w:t>
      </w:r>
    </w:p>
    <w:p w14:paraId="1DBBF600" w14:textId="438A19A0" w:rsidR="00B447FC" w:rsidRPr="00B447FC" w:rsidRDefault="00B447FC" w:rsidP="00B447FC">
      <w:pPr>
        <w:pStyle w:val="Normal1"/>
      </w:pPr>
      <w:r>
        <w:t xml:space="preserve">                        </w:t>
      </w:r>
      <w:r>
        <w:rPr>
          <w:noProof/>
        </w:rPr>
        <w:drawing>
          <wp:inline distT="0" distB="0" distL="0" distR="0" wp14:anchorId="1266A2B3" wp14:editId="72B5BA17">
            <wp:extent cx="3103632" cy="791851"/>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59410" cy="806082"/>
                    </a:xfrm>
                    <a:prstGeom prst="rect">
                      <a:avLst/>
                    </a:prstGeom>
                  </pic:spPr>
                </pic:pic>
              </a:graphicData>
            </a:graphic>
          </wp:inline>
        </w:drawing>
      </w:r>
    </w:p>
    <w:p w14:paraId="746EAD19" w14:textId="77777777" w:rsidR="00B447FC" w:rsidRPr="00B447FC" w:rsidRDefault="00B447FC" w:rsidP="00B447FC">
      <w:pPr>
        <w:pStyle w:val="Normal1"/>
      </w:pPr>
    </w:p>
    <w:p w14:paraId="1AC85C65" w14:textId="77777777" w:rsidR="007C1D97" w:rsidRPr="007C1D97" w:rsidRDefault="007C1D97">
      <w:pPr>
        <w:pStyle w:val="Title"/>
        <w:widowControl w:val="0"/>
        <w:contextualSpacing w:val="0"/>
        <w:jc w:val="center"/>
        <w:rPr>
          <w:rFonts w:ascii="Arial" w:hAnsi="Arial" w:cs="Arial"/>
          <w:color w:val="auto"/>
          <w:sz w:val="36"/>
          <w:szCs w:val="36"/>
        </w:rPr>
      </w:pPr>
    </w:p>
    <w:p w14:paraId="64529E83" w14:textId="51E6B55C" w:rsidR="00E04EAC" w:rsidRPr="00627F74" w:rsidRDefault="009627A7">
      <w:pPr>
        <w:pStyle w:val="Title"/>
        <w:widowControl w:val="0"/>
        <w:contextualSpacing w:val="0"/>
        <w:jc w:val="center"/>
        <w:rPr>
          <w:rFonts w:ascii="Arial" w:hAnsi="Arial" w:cs="Arial"/>
          <w:color w:val="auto"/>
          <w:sz w:val="52"/>
        </w:rPr>
      </w:pPr>
      <w:r w:rsidRPr="00627F74">
        <w:rPr>
          <w:rFonts w:ascii="Arial" w:hAnsi="Arial" w:cs="Arial"/>
          <w:color w:val="auto"/>
          <w:sz w:val="52"/>
        </w:rPr>
        <w:t>LAUNCH</w:t>
      </w:r>
      <w:r w:rsidR="0004640D" w:rsidRPr="00627F74">
        <w:rPr>
          <w:rFonts w:ascii="Arial" w:hAnsi="Arial" w:cs="Arial"/>
          <w:color w:val="auto"/>
          <w:sz w:val="52"/>
        </w:rPr>
        <w:t xml:space="preserve"> </w:t>
      </w:r>
      <w:r w:rsidR="00325D72" w:rsidRPr="00627F74">
        <w:rPr>
          <w:rFonts w:ascii="Arial" w:hAnsi="Arial" w:cs="Arial"/>
          <w:color w:val="auto"/>
          <w:sz w:val="52"/>
        </w:rPr>
        <w:t>POLICIES</w:t>
      </w:r>
    </w:p>
    <w:p w14:paraId="509802FF" w14:textId="77777777" w:rsidR="00E04EAC" w:rsidRPr="00627F74" w:rsidRDefault="00E04EAC">
      <w:pPr>
        <w:pStyle w:val="Normal1"/>
        <w:widowControl w:val="0"/>
        <w:rPr>
          <w:color w:val="auto"/>
        </w:rPr>
      </w:pPr>
    </w:p>
    <w:p w14:paraId="1F940164" w14:textId="77777777" w:rsidR="00E04EAC" w:rsidRPr="00627F74" w:rsidRDefault="00E04EAC">
      <w:pPr>
        <w:pStyle w:val="Normal1"/>
        <w:widowControl w:val="0"/>
        <w:rPr>
          <w:color w:val="auto"/>
        </w:rPr>
      </w:pPr>
    </w:p>
    <w:p w14:paraId="0C06125A" w14:textId="77777777" w:rsidR="00E04EAC" w:rsidRPr="00627F74" w:rsidRDefault="00E04EAC">
      <w:pPr>
        <w:pStyle w:val="Normal1"/>
        <w:widowControl w:val="0"/>
        <w:rPr>
          <w:color w:val="auto"/>
        </w:rPr>
      </w:pPr>
    </w:p>
    <w:p w14:paraId="5FFAC2F0" w14:textId="77777777" w:rsidR="00E04EAC" w:rsidRPr="00627F74" w:rsidRDefault="00E04EAC">
      <w:pPr>
        <w:pStyle w:val="Normal1"/>
        <w:widowControl w:val="0"/>
        <w:rPr>
          <w:color w:val="auto"/>
        </w:rPr>
      </w:pPr>
    </w:p>
    <w:p w14:paraId="32154C87" w14:textId="77777777" w:rsidR="00E04EAC" w:rsidRPr="00627F74" w:rsidRDefault="00E04EAC">
      <w:pPr>
        <w:pStyle w:val="Normal1"/>
        <w:widowControl w:val="0"/>
        <w:rPr>
          <w:color w:val="auto"/>
        </w:rPr>
      </w:pPr>
    </w:p>
    <w:p w14:paraId="76259AA0" w14:textId="77777777" w:rsidR="00E04EAC" w:rsidRPr="00627F74" w:rsidRDefault="00E04EAC">
      <w:pPr>
        <w:pStyle w:val="Normal1"/>
        <w:widowControl w:val="0"/>
        <w:rPr>
          <w:color w:val="auto"/>
        </w:rPr>
      </w:pPr>
    </w:p>
    <w:p w14:paraId="1BA9E630" w14:textId="77777777" w:rsidR="00E04EAC" w:rsidRPr="00627F74" w:rsidRDefault="00E04EAC">
      <w:pPr>
        <w:pStyle w:val="Normal1"/>
        <w:widowControl w:val="0"/>
        <w:rPr>
          <w:color w:val="auto"/>
        </w:rPr>
      </w:pPr>
    </w:p>
    <w:p w14:paraId="0D6E121B" w14:textId="77777777" w:rsidR="00732F5B" w:rsidRPr="00627F74" w:rsidRDefault="00732F5B">
      <w:pPr>
        <w:pStyle w:val="Normal1"/>
        <w:widowControl w:val="0"/>
        <w:rPr>
          <w:color w:val="auto"/>
        </w:rPr>
      </w:pPr>
    </w:p>
    <w:p w14:paraId="52B95A11" w14:textId="77777777" w:rsidR="00732F5B" w:rsidRPr="00627F74" w:rsidRDefault="00732F5B">
      <w:pPr>
        <w:pStyle w:val="Normal1"/>
        <w:widowControl w:val="0"/>
        <w:rPr>
          <w:color w:val="auto"/>
        </w:rPr>
      </w:pPr>
    </w:p>
    <w:p w14:paraId="2BC12A39" w14:textId="77777777" w:rsidR="00732F5B" w:rsidRPr="00627F74" w:rsidRDefault="00732F5B">
      <w:pPr>
        <w:pStyle w:val="Normal1"/>
        <w:widowControl w:val="0"/>
        <w:rPr>
          <w:color w:val="auto"/>
        </w:rPr>
      </w:pPr>
    </w:p>
    <w:p w14:paraId="2C7DA3B3" w14:textId="77777777" w:rsidR="00732F5B" w:rsidRPr="00627F74" w:rsidRDefault="00732F5B">
      <w:pPr>
        <w:pStyle w:val="Normal1"/>
        <w:widowControl w:val="0"/>
        <w:rPr>
          <w:color w:val="auto"/>
        </w:rPr>
      </w:pPr>
    </w:p>
    <w:p w14:paraId="6AFDDF71" w14:textId="77777777" w:rsidR="00732F5B" w:rsidRPr="00627F74" w:rsidRDefault="00732F5B">
      <w:pPr>
        <w:pStyle w:val="Normal1"/>
        <w:widowControl w:val="0"/>
        <w:rPr>
          <w:color w:val="auto"/>
        </w:rPr>
      </w:pPr>
    </w:p>
    <w:p w14:paraId="2871F4F4" w14:textId="77777777" w:rsidR="00732F5B" w:rsidRPr="00627F74" w:rsidRDefault="00732F5B">
      <w:pPr>
        <w:pStyle w:val="Normal1"/>
        <w:widowControl w:val="0"/>
        <w:rPr>
          <w:color w:val="auto"/>
        </w:rPr>
      </w:pPr>
    </w:p>
    <w:p w14:paraId="314C4DF6" w14:textId="77777777" w:rsidR="007C1D97" w:rsidRDefault="007C1D97">
      <w:pPr>
        <w:pStyle w:val="Normal1"/>
        <w:widowControl w:val="0"/>
        <w:rPr>
          <w:color w:val="auto"/>
        </w:rPr>
      </w:pPr>
    </w:p>
    <w:p w14:paraId="25DA13AA" w14:textId="138D5D98" w:rsidR="00E04EAC" w:rsidRPr="00627F74" w:rsidRDefault="0092639B">
      <w:pPr>
        <w:pStyle w:val="Normal1"/>
        <w:widowControl w:val="0"/>
        <w:rPr>
          <w:color w:val="auto"/>
        </w:rPr>
      </w:pPr>
      <w:r w:rsidRPr="00627F74">
        <w:rPr>
          <w:color w:val="auto"/>
        </w:rPr>
        <w:t>Version</w:t>
      </w:r>
      <w:r w:rsidR="00670150">
        <w:rPr>
          <w:color w:val="auto"/>
        </w:rPr>
        <w:t>: 1.0</w:t>
      </w:r>
    </w:p>
    <w:p w14:paraId="15A75EBE" w14:textId="44D291D8" w:rsidR="004B1CEE" w:rsidRPr="00627F74" w:rsidRDefault="00325D72" w:rsidP="00432ED8">
      <w:pPr>
        <w:pStyle w:val="Normal1"/>
        <w:widowControl w:val="0"/>
        <w:rPr>
          <w:color w:val="auto"/>
        </w:rPr>
      </w:pPr>
      <w:r w:rsidRPr="00627F74">
        <w:rPr>
          <w:color w:val="auto"/>
        </w:rPr>
        <w:t xml:space="preserve">Last updated: </w:t>
      </w:r>
      <w:r w:rsidR="00F223EC" w:rsidRPr="00F223EC">
        <w:rPr>
          <w:color w:val="auto"/>
        </w:rPr>
        <w:t xml:space="preserve">November </w:t>
      </w:r>
      <w:r w:rsidR="00B447FC">
        <w:rPr>
          <w:color w:val="auto"/>
        </w:rPr>
        <w:t>4, 2020</w:t>
      </w:r>
    </w:p>
    <w:p w14:paraId="5C9E44E3" w14:textId="2CEFB52B" w:rsidR="004B1CEE" w:rsidRPr="00627F74" w:rsidRDefault="004B1CEE">
      <w:pPr>
        <w:rPr>
          <w:rFonts w:ascii="Arial" w:eastAsia="Arial" w:hAnsi="Arial" w:cs="Arial"/>
          <w:sz w:val="22"/>
          <w:highlight w:val="yellow"/>
        </w:rPr>
      </w:pPr>
    </w:p>
    <w:bookmarkStart w:id="1" w:name="h.5e438xkvbh6e" w:colFirst="0" w:colLast="0" w:displacedByCustomXml="next"/>
    <w:bookmarkEnd w:id="1" w:displacedByCustomXml="next"/>
    <w:sdt>
      <w:sdtPr>
        <w:rPr>
          <w:rFonts w:ascii="Arial" w:eastAsiaTheme="minorEastAsia" w:hAnsi="Arial" w:cs="Arial"/>
          <w:color w:val="auto"/>
          <w:sz w:val="24"/>
          <w:szCs w:val="24"/>
          <w:lang w:eastAsia="ja-JP"/>
        </w:rPr>
        <w:id w:val="1472868155"/>
        <w:docPartObj>
          <w:docPartGallery w:val="Table of Contents"/>
          <w:docPartUnique/>
        </w:docPartObj>
      </w:sdtPr>
      <w:sdtEndPr>
        <w:rPr>
          <w:b/>
          <w:bCs/>
          <w:noProof/>
        </w:rPr>
      </w:sdtEndPr>
      <w:sdtContent>
        <w:p w14:paraId="349B9531" w14:textId="17A3715C" w:rsidR="002F0E14" w:rsidRPr="006D26B9" w:rsidRDefault="002F0E14">
          <w:pPr>
            <w:pStyle w:val="TOCHeading"/>
            <w:rPr>
              <w:rFonts w:ascii="Arial" w:hAnsi="Arial" w:cs="Arial"/>
              <w:color w:val="auto"/>
            </w:rPr>
          </w:pPr>
          <w:r w:rsidRPr="006D26B9">
            <w:rPr>
              <w:rFonts w:ascii="Arial" w:hAnsi="Arial" w:cs="Arial"/>
              <w:color w:val="auto"/>
            </w:rPr>
            <w:t>Contents</w:t>
          </w:r>
        </w:p>
        <w:p w14:paraId="74409642" w14:textId="77777777" w:rsidR="002F0E14" w:rsidRPr="006D26B9" w:rsidRDefault="002F0E14" w:rsidP="002F0E14">
          <w:pPr>
            <w:rPr>
              <w:rFonts w:ascii="Arial" w:hAnsi="Arial" w:cs="Arial"/>
              <w:lang w:eastAsia="en-US"/>
            </w:rPr>
          </w:pPr>
        </w:p>
        <w:p w14:paraId="699FA999" w14:textId="31997A21" w:rsidR="00691595" w:rsidRPr="00691595" w:rsidRDefault="002F0E14">
          <w:pPr>
            <w:pStyle w:val="TOC1"/>
            <w:tabs>
              <w:tab w:val="left" w:pos="440"/>
              <w:tab w:val="right" w:leader="dot" w:pos="9350"/>
            </w:tabs>
            <w:rPr>
              <w:rFonts w:ascii="Arial" w:hAnsi="Arial" w:cs="Arial"/>
              <w:noProof/>
              <w:sz w:val="22"/>
              <w:szCs w:val="22"/>
              <w:lang w:eastAsia="en-US"/>
            </w:rPr>
          </w:pPr>
          <w:r w:rsidRPr="00B62820">
            <w:rPr>
              <w:rFonts w:ascii="Arial" w:hAnsi="Arial" w:cs="Arial"/>
            </w:rPr>
            <w:fldChar w:fldCharType="begin"/>
          </w:r>
          <w:r w:rsidRPr="00B62820">
            <w:rPr>
              <w:rFonts w:ascii="Arial" w:hAnsi="Arial" w:cs="Arial"/>
            </w:rPr>
            <w:instrText xml:space="preserve"> TOC \o "1-3" \h \z \u </w:instrText>
          </w:r>
          <w:r w:rsidRPr="00B62820">
            <w:rPr>
              <w:rFonts w:ascii="Arial" w:hAnsi="Arial" w:cs="Arial"/>
            </w:rPr>
            <w:fldChar w:fldCharType="separate"/>
          </w:r>
          <w:hyperlink w:anchor="_Toc536000355" w:history="1">
            <w:r w:rsidR="00691595" w:rsidRPr="00691595">
              <w:rPr>
                <w:rStyle w:val="Hyperlink"/>
                <w:rFonts w:ascii="Arial" w:hAnsi="Arial" w:cs="Arial"/>
                <w:noProof/>
              </w:rPr>
              <w:t>1.</w:t>
            </w:r>
            <w:r w:rsidR="00691595" w:rsidRPr="00691595">
              <w:rPr>
                <w:rFonts w:ascii="Arial" w:hAnsi="Arial" w:cs="Arial"/>
                <w:noProof/>
                <w:sz w:val="22"/>
                <w:szCs w:val="22"/>
                <w:lang w:eastAsia="en-US"/>
              </w:rPr>
              <w:tab/>
            </w:r>
            <w:r w:rsidR="00691595" w:rsidRPr="00691595">
              <w:rPr>
                <w:rStyle w:val="Hyperlink"/>
                <w:rFonts w:ascii="Arial" w:hAnsi="Arial" w:cs="Arial"/>
                <w:noProof/>
              </w:rPr>
              <w:t>Introduction and Purpose</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_Toc536000355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3</w:t>
            </w:r>
            <w:r w:rsidR="00691595" w:rsidRPr="00691595">
              <w:rPr>
                <w:rFonts w:ascii="Arial" w:hAnsi="Arial" w:cs="Arial"/>
                <w:noProof/>
                <w:webHidden/>
              </w:rPr>
              <w:fldChar w:fldCharType="end"/>
            </w:r>
          </w:hyperlink>
        </w:p>
        <w:p w14:paraId="2D3A5050" w14:textId="21C8A742" w:rsidR="00691595" w:rsidRPr="00691595" w:rsidRDefault="00FC4B3E">
          <w:pPr>
            <w:pStyle w:val="TOC1"/>
            <w:tabs>
              <w:tab w:val="left" w:pos="660"/>
              <w:tab w:val="right" w:leader="dot" w:pos="9350"/>
            </w:tabs>
            <w:rPr>
              <w:rFonts w:ascii="Arial" w:hAnsi="Arial" w:cs="Arial"/>
              <w:noProof/>
              <w:sz w:val="22"/>
              <w:szCs w:val="22"/>
              <w:lang w:eastAsia="en-US"/>
            </w:rPr>
          </w:pPr>
          <w:hyperlink w:anchor="_Toc536000356" w:history="1">
            <w:r w:rsidR="00691595" w:rsidRPr="00691595">
              <w:rPr>
                <w:rStyle w:val="Hyperlink"/>
                <w:rFonts w:ascii="Arial" w:hAnsi="Arial" w:cs="Arial"/>
                <w:noProof/>
              </w:rPr>
              <w:t xml:space="preserve">2. </w:t>
            </w:r>
            <w:r w:rsidR="00691595" w:rsidRPr="00691595">
              <w:rPr>
                <w:rFonts w:ascii="Arial" w:hAnsi="Arial" w:cs="Arial"/>
                <w:noProof/>
                <w:sz w:val="22"/>
                <w:szCs w:val="22"/>
                <w:lang w:eastAsia="en-US"/>
              </w:rPr>
              <w:tab/>
            </w:r>
            <w:r w:rsidR="00691595" w:rsidRPr="00691595">
              <w:rPr>
                <w:rStyle w:val="Hyperlink"/>
                <w:rFonts w:ascii="Arial" w:hAnsi="Arial" w:cs="Arial"/>
                <w:noProof/>
              </w:rPr>
              <w:t>Summary of Launch Periods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_Toc536000356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4</w:t>
            </w:r>
            <w:r w:rsidR="00691595" w:rsidRPr="00691595">
              <w:rPr>
                <w:rFonts w:ascii="Arial" w:hAnsi="Arial" w:cs="Arial"/>
                <w:noProof/>
                <w:webHidden/>
              </w:rPr>
              <w:fldChar w:fldCharType="end"/>
            </w:r>
          </w:hyperlink>
        </w:p>
        <w:p w14:paraId="3127DEF6" w14:textId="0E01DF29" w:rsidR="00691595" w:rsidRPr="00691595" w:rsidRDefault="00FC4B3E">
          <w:pPr>
            <w:pStyle w:val="TOC1"/>
            <w:tabs>
              <w:tab w:val="left" w:pos="660"/>
              <w:tab w:val="right" w:leader="dot" w:pos="9350"/>
            </w:tabs>
            <w:rPr>
              <w:rFonts w:ascii="Arial" w:hAnsi="Arial" w:cs="Arial"/>
              <w:noProof/>
              <w:sz w:val="22"/>
              <w:szCs w:val="22"/>
              <w:lang w:eastAsia="en-US"/>
            </w:rPr>
          </w:pPr>
          <w:hyperlink w:anchor="_Toc536000357" w:history="1">
            <w:r w:rsidR="00691595" w:rsidRPr="00691595">
              <w:rPr>
                <w:rStyle w:val="Hyperlink"/>
                <w:rFonts w:ascii="Arial" w:hAnsi="Arial" w:cs="Arial"/>
                <w:noProof/>
              </w:rPr>
              <w:t xml:space="preserve">3. </w:t>
            </w:r>
            <w:r w:rsidR="00691595" w:rsidRPr="00691595">
              <w:rPr>
                <w:rFonts w:ascii="Arial" w:hAnsi="Arial" w:cs="Arial"/>
                <w:noProof/>
                <w:sz w:val="22"/>
                <w:szCs w:val="22"/>
                <w:lang w:eastAsia="en-US"/>
              </w:rPr>
              <w:tab/>
            </w:r>
            <w:r w:rsidR="00691595" w:rsidRPr="00691595">
              <w:rPr>
                <w:rStyle w:val="Hyperlink"/>
                <w:rFonts w:ascii="Arial" w:hAnsi="Arial" w:cs="Arial"/>
                <w:noProof/>
              </w:rPr>
              <w:t>Sunrise rules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_Toc536000357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4</w:t>
            </w:r>
            <w:r w:rsidR="00691595" w:rsidRPr="00691595">
              <w:rPr>
                <w:rFonts w:ascii="Arial" w:hAnsi="Arial" w:cs="Arial"/>
                <w:noProof/>
                <w:webHidden/>
              </w:rPr>
              <w:fldChar w:fldCharType="end"/>
            </w:r>
          </w:hyperlink>
        </w:p>
        <w:p w14:paraId="61A14B4C" w14:textId="32B4A8B0"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58" w:history="1">
            <w:r w:rsidR="00691595" w:rsidRPr="00691595">
              <w:rPr>
                <w:rStyle w:val="Hyperlink"/>
                <w:rFonts w:ascii="Arial" w:hAnsi="Arial" w:cs="Arial"/>
                <w:noProof/>
              </w:rPr>
              <w:t>3.1</w:t>
            </w:r>
            <w:r w:rsidR="00691595" w:rsidRPr="00691595">
              <w:rPr>
                <w:rFonts w:ascii="Arial" w:hAnsi="Arial" w:cs="Arial"/>
                <w:noProof/>
                <w:sz w:val="22"/>
                <w:szCs w:val="22"/>
                <w:lang w:eastAsia="en-US"/>
              </w:rPr>
              <w:tab/>
            </w:r>
            <w:r w:rsidR="00691595" w:rsidRPr="00691595">
              <w:rPr>
                <w:rStyle w:val="Hyperlink"/>
                <w:rFonts w:ascii="Arial" w:hAnsi="Arial" w:cs="Arial"/>
                <w:noProof/>
              </w:rPr>
              <w:t>Scope and Applicability</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_Toc536000358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4</w:t>
            </w:r>
            <w:r w:rsidR="00691595" w:rsidRPr="00691595">
              <w:rPr>
                <w:rFonts w:ascii="Arial" w:hAnsi="Arial" w:cs="Arial"/>
                <w:noProof/>
                <w:webHidden/>
              </w:rPr>
              <w:fldChar w:fldCharType="end"/>
            </w:r>
          </w:hyperlink>
        </w:p>
        <w:p w14:paraId="03D28AD7" w14:textId="6FDF2E97"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59" w:history="1">
            <w:r w:rsidR="00691595" w:rsidRPr="00691595">
              <w:rPr>
                <w:rStyle w:val="Hyperlink"/>
                <w:rFonts w:ascii="Arial" w:hAnsi="Arial" w:cs="Arial"/>
                <w:noProof/>
              </w:rPr>
              <w:t>3.2</w:t>
            </w:r>
            <w:r w:rsidR="00691595" w:rsidRPr="00691595">
              <w:rPr>
                <w:rFonts w:ascii="Arial" w:hAnsi="Arial" w:cs="Arial"/>
                <w:noProof/>
                <w:sz w:val="22"/>
                <w:szCs w:val="22"/>
                <w:lang w:eastAsia="en-US"/>
              </w:rPr>
              <w:tab/>
            </w:r>
            <w:r w:rsidR="00691595" w:rsidRPr="00691595">
              <w:rPr>
                <w:rStyle w:val="Hyperlink"/>
                <w:rFonts w:ascii="Arial" w:hAnsi="Arial" w:cs="Arial"/>
                <w:noProof/>
              </w:rPr>
              <w:t>Eligible Applicants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_Toc536000359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4</w:t>
            </w:r>
            <w:r w:rsidR="00691595" w:rsidRPr="00691595">
              <w:rPr>
                <w:rFonts w:ascii="Arial" w:hAnsi="Arial" w:cs="Arial"/>
                <w:noProof/>
                <w:webHidden/>
              </w:rPr>
              <w:fldChar w:fldCharType="end"/>
            </w:r>
          </w:hyperlink>
        </w:p>
        <w:p w14:paraId="3F25009E" w14:textId="1DDE0BEB"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60" w:history="1">
            <w:r w:rsidR="00691595" w:rsidRPr="00691595">
              <w:rPr>
                <w:rStyle w:val="Hyperlink"/>
                <w:rFonts w:ascii="Arial" w:hAnsi="Arial" w:cs="Arial"/>
                <w:noProof/>
              </w:rPr>
              <w:t>3.3</w:t>
            </w:r>
            <w:r w:rsidR="00691595" w:rsidRPr="00691595">
              <w:rPr>
                <w:rFonts w:ascii="Arial" w:hAnsi="Arial" w:cs="Arial"/>
                <w:noProof/>
                <w:sz w:val="22"/>
                <w:szCs w:val="22"/>
                <w:lang w:eastAsia="en-US"/>
              </w:rPr>
              <w:tab/>
            </w:r>
            <w:r w:rsidR="00691595" w:rsidRPr="00691595">
              <w:rPr>
                <w:rStyle w:val="Hyperlink"/>
                <w:rFonts w:ascii="Arial" w:hAnsi="Arial" w:cs="Arial"/>
                <w:noProof/>
              </w:rPr>
              <w:t>Application Process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_Toc536000360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4</w:t>
            </w:r>
            <w:r w:rsidR="00691595" w:rsidRPr="00691595">
              <w:rPr>
                <w:rFonts w:ascii="Arial" w:hAnsi="Arial" w:cs="Arial"/>
                <w:noProof/>
                <w:webHidden/>
              </w:rPr>
              <w:fldChar w:fldCharType="end"/>
            </w:r>
          </w:hyperlink>
        </w:p>
        <w:p w14:paraId="0995952E" w14:textId="59B467F2" w:rsidR="00691595" w:rsidRPr="00691595" w:rsidRDefault="00FC4B3E">
          <w:pPr>
            <w:pStyle w:val="TOC2"/>
            <w:tabs>
              <w:tab w:val="right" w:leader="dot" w:pos="9350"/>
            </w:tabs>
            <w:rPr>
              <w:rFonts w:ascii="Arial" w:hAnsi="Arial" w:cs="Arial"/>
              <w:noProof/>
              <w:sz w:val="22"/>
              <w:szCs w:val="22"/>
              <w:lang w:eastAsia="en-US"/>
            </w:rPr>
          </w:pPr>
          <w:hyperlink w:anchor="_Toc536000361" w:history="1">
            <w:r w:rsidR="00691595" w:rsidRPr="00691595">
              <w:rPr>
                <w:rStyle w:val="Hyperlink"/>
                <w:rFonts w:ascii="Arial" w:hAnsi="Arial" w:cs="Arial"/>
                <w:noProof/>
              </w:rPr>
              <w:t>3.4 SMD File Requirements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_Toc536000361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5</w:t>
            </w:r>
            <w:r w:rsidR="00691595" w:rsidRPr="00691595">
              <w:rPr>
                <w:rFonts w:ascii="Arial" w:hAnsi="Arial" w:cs="Arial"/>
                <w:noProof/>
                <w:webHidden/>
              </w:rPr>
              <w:fldChar w:fldCharType="end"/>
            </w:r>
          </w:hyperlink>
        </w:p>
        <w:p w14:paraId="4A88A8C7" w14:textId="38532DC9" w:rsidR="00691595" w:rsidRPr="00691595" w:rsidRDefault="00FC4B3E">
          <w:pPr>
            <w:pStyle w:val="TOC2"/>
            <w:tabs>
              <w:tab w:val="right" w:leader="dot" w:pos="9350"/>
            </w:tabs>
            <w:rPr>
              <w:rFonts w:ascii="Arial" w:hAnsi="Arial" w:cs="Arial"/>
              <w:noProof/>
              <w:sz w:val="22"/>
              <w:szCs w:val="22"/>
              <w:lang w:eastAsia="en-US"/>
            </w:rPr>
          </w:pPr>
          <w:hyperlink w:anchor="_Toc536000362" w:history="1">
            <w:r w:rsidR="00691595" w:rsidRPr="00691595">
              <w:rPr>
                <w:rStyle w:val="Hyperlink"/>
                <w:rFonts w:ascii="Arial" w:hAnsi="Arial" w:cs="Arial"/>
                <w:noProof/>
              </w:rPr>
              <w:t>3.5 Allocation of Registration Requests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_Toc536000362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5</w:t>
            </w:r>
            <w:r w:rsidR="00691595" w:rsidRPr="00691595">
              <w:rPr>
                <w:rFonts w:ascii="Arial" w:hAnsi="Arial" w:cs="Arial"/>
                <w:noProof/>
                <w:webHidden/>
              </w:rPr>
              <w:fldChar w:fldCharType="end"/>
            </w:r>
          </w:hyperlink>
        </w:p>
        <w:p w14:paraId="77BFB46E" w14:textId="0E676ABC" w:rsidR="00691595" w:rsidRPr="00691595" w:rsidRDefault="00FC4B3E">
          <w:pPr>
            <w:pStyle w:val="TOC2"/>
            <w:tabs>
              <w:tab w:val="right" w:leader="dot" w:pos="9350"/>
            </w:tabs>
            <w:rPr>
              <w:rFonts w:ascii="Arial" w:hAnsi="Arial" w:cs="Arial"/>
              <w:noProof/>
              <w:sz w:val="22"/>
              <w:szCs w:val="22"/>
              <w:lang w:eastAsia="en-US"/>
            </w:rPr>
          </w:pPr>
          <w:hyperlink w:anchor="_Toc536000363" w:history="1">
            <w:r w:rsidR="00691595" w:rsidRPr="00691595">
              <w:rPr>
                <w:rStyle w:val="Hyperlink"/>
                <w:rFonts w:ascii="Arial" w:hAnsi="Arial" w:cs="Arial"/>
                <w:noProof/>
              </w:rPr>
              <w:t>3.6 Available Sunrise Registration Periods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_Toc536000363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5</w:t>
            </w:r>
            <w:r w:rsidR="00691595" w:rsidRPr="00691595">
              <w:rPr>
                <w:rFonts w:ascii="Arial" w:hAnsi="Arial" w:cs="Arial"/>
                <w:noProof/>
                <w:webHidden/>
              </w:rPr>
              <w:fldChar w:fldCharType="end"/>
            </w:r>
          </w:hyperlink>
        </w:p>
        <w:p w14:paraId="1079CD82" w14:textId="00919ABE" w:rsidR="00691595" w:rsidRPr="00691595" w:rsidRDefault="00FC4B3E">
          <w:pPr>
            <w:pStyle w:val="TOC2"/>
            <w:tabs>
              <w:tab w:val="right" w:leader="dot" w:pos="9350"/>
            </w:tabs>
            <w:rPr>
              <w:rFonts w:ascii="Arial" w:hAnsi="Arial" w:cs="Arial"/>
              <w:noProof/>
              <w:sz w:val="22"/>
              <w:szCs w:val="22"/>
              <w:lang w:eastAsia="en-US"/>
            </w:rPr>
          </w:pPr>
          <w:hyperlink w:anchor="_Toc536000364" w:history="1">
            <w:r w:rsidR="00691595" w:rsidRPr="00691595">
              <w:rPr>
                <w:rStyle w:val="Hyperlink"/>
                <w:rFonts w:ascii="Arial" w:hAnsi="Arial" w:cs="Arial"/>
                <w:noProof/>
              </w:rPr>
              <w:t>3.7 Certification / Liability</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_Toc536000364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5</w:t>
            </w:r>
            <w:r w:rsidR="00691595" w:rsidRPr="00691595">
              <w:rPr>
                <w:rFonts w:ascii="Arial" w:hAnsi="Arial" w:cs="Arial"/>
                <w:noProof/>
                <w:webHidden/>
              </w:rPr>
              <w:fldChar w:fldCharType="end"/>
            </w:r>
          </w:hyperlink>
        </w:p>
        <w:p w14:paraId="2BCDBD49" w14:textId="0CD65BEF" w:rsidR="00691595" w:rsidRPr="00691595" w:rsidRDefault="00FC4B3E">
          <w:pPr>
            <w:pStyle w:val="TOC1"/>
            <w:tabs>
              <w:tab w:val="left" w:pos="440"/>
              <w:tab w:val="right" w:leader="dot" w:pos="9350"/>
            </w:tabs>
            <w:rPr>
              <w:rFonts w:ascii="Arial" w:hAnsi="Arial" w:cs="Arial"/>
              <w:noProof/>
              <w:sz w:val="22"/>
              <w:szCs w:val="22"/>
              <w:lang w:eastAsia="en-US"/>
            </w:rPr>
          </w:pPr>
          <w:hyperlink w:anchor="_Toc536000365" w:history="1">
            <w:r w:rsidR="00691595" w:rsidRPr="00691595">
              <w:rPr>
                <w:rStyle w:val="Hyperlink"/>
                <w:rFonts w:ascii="Arial" w:hAnsi="Arial" w:cs="Arial"/>
                <w:noProof/>
              </w:rPr>
              <w:t>4.</w:t>
            </w:r>
            <w:r w:rsidR="00691595" w:rsidRPr="00691595">
              <w:rPr>
                <w:rFonts w:ascii="Arial" w:hAnsi="Arial" w:cs="Arial"/>
                <w:noProof/>
                <w:sz w:val="22"/>
                <w:szCs w:val="22"/>
                <w:lang w:eastAsia="en-US"/>
              </w:rPr>
              <w:tab/>
            </w:r>
            <w:r w:rsidR="00691595" w:rsidRPr="00691595">
              <w:rPr>
                <w:rStyle w:val="Hyperlink"/>
                <w:rFonts w:ascii="Arial" w:hAnsi="Arial" w:cs="Arial"/>
                <w:noProof/>
              </w:rPr>
              <w:t>Early Access Period</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_Toc536000365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5</w:t>
            </w:r>
            <w:r w:rsidR="00691595" w:rsidRPr="00691595">
              <w:rPr>
                <w:rFonts w:ascii="Arial" w:hAnsi="Arial" w:cs="Arial"/>
                <w:noProof/>
                <w:webHidden/>
              </w:rPr>
              <w:fldChar w:fldCharType="end"/>
            </w:r>
          </w:hyperlink>
        </w:p>
        <w:p w14:paraId="0EE350D2" w14:textId="0EE5CC60"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66" w:history="1">
            <w:r w:rsidR="00691595" w:rsidRPr="00691595">
              <w:rPr>
                <w:rStyle w:val="Hyperlink"/>
                <w:rFonts w:ascii="Arial" w:hAnsi="Arial" w:cs="Arial"/>
                <w:noProof/>
              </w:rPr>
              <w:t>4.1</w:t>
            </w:r>
            <w:r w:rsidR="00691595" w:rsidRPr="00691595">
              <w:rPr>
                <w:rFonts w:ascii="Arial" w:hAnsi="Arial" w:cs="Arial"/>
                <w:noProof/>
                <w:sz w:val="22"/>
                <w:szCs w:val="22"/>
                <w:lang w:eastAsia="en-US"/>
              </w:rPr>
              <w:tab/>
            </w:r>
            <w:r w:rsidR="00691595" w:rsidRPr="00691595">
              <w:rPr>
                <w:rStyle w:val="Hyperlink"/>
                <w:rFonts w:ascii="Arial" w:hAnsi="Arial" w:cs="Arial"/>
                <w:noProof/>
              </w:rPr>
              <w:t>In General</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_Toc536000366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5</w:t>
            </w:r>
            <w:r w:rsidR="00691595" w:rsidRPr="00691595">
              <w:rPr>
                <w:rFonts w:ascii="Arial" w:hAnsi="Arial" w:cs="Arial"/>
                <w:noProof/>
                <w:webHidden/>
              </w:rPr>
              <w:fldChar w:fldCharType="end"/>
            </w:r>
          </w:hyperlink>
        </w:p>
        <w:p w14:paraId="41A03DB7" w14:textId="4D12708D"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67" w:history="1">
            <w:r w:rsidR="00691595" w:rsidRPr="00691595">
              <w:rPr>
                <w:rStyle w:val="Hyperlink"/>
                <w:rFonts w:ascii="Arial" w:hAnsi="Arial" w:cs="Arial"/>
                <w:noProof/>
              </w:rPr>
              <w:t>4.2</w:t>
            </w:r>
            <w:r w:rsidR="00691595" w:rsidRPr="00691595">
              <w:rPr>
                <w:rFonts w:ascii="Arial" w:hAnsi="Arial" w:cs="Arial"/>
                <w:noProof/>
                <w:sz w:val="22"/>
                <w:szCs w:val="22"/>
                <w:lang w:eastAsia="en-US"/>
              </w:rPr>
              <w:tab/>
            </w:r>
            <w:r w:rsidR="00691595" w:rsidRPr="00691595">
              <w:rPr>
                <w:rStyle w:val="Hyperlink"/>
                <w:rFonts w:ascii="Arial" w:hAnsi="Arial" w:cs="Arial"/>
                <w:noProof/>
              </w:rPr>
              <w:t>Eligible Applicants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_Toc536000367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6</w:t>
            </w:r>
            <w:r w:rsidR="00691595" w:rsidRPr="00691595">
              <w:rPr>
                <w:rFonts w:ascii="Arial" w:hAnsi="Arial" w:cs="Arial"/>
                <w:noProof/>
                <w:webHidden/>
              </w:rPr>
              <w:fldChar w:fldCharType="end"/>
            </w:r>
          </w:hyperlink>
        </w:p>
        <w:p w14:paraId="3B6C5C83" w14:textId="62B9C8F7"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68" w:history="1">
            <w:r w:rsidR="00691595" w:rsidRPr="00691595">
              <w:rPr>
                <w:rStyle w:val="Hyperlink"/>
                <w:rFonts w:ascii="Arial" w:hAnsi="Arial" w:cs="Arial"/>
                <w:noProof/>
              </w:rPr>
              <w:t>4.3</w:t>
            </w:r>
            <w:r w:rsidR="00691595" w:rsidRPr="00691595">
              <w:rPr>
                <w:rFonts w:ascii="Arial" w:hAnsi="Arial" w:cs="Arial"/>
                <w:noProof/>
                <w:sz w:val="22"/>
                <w:szCs w:val="22"/>
                <w:lang w:eastAsia="en-US"/>
              </w:rPr>
              <w:tab/>
            </w:r>
            <w:r w:rsidR="00691595" w:rsidRPr="00691595">
              <w:rPr>
                <w:rStyle w:val="Hyperlink"/>
                <w:rFonts w:ascii="Arial" w:hAnsi="Arial" w:cs="Arial"/>
                <w:noProof/>
              </w:rPr>
              <w:t>Duration</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_Toc536000368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6</w:t>
            </w:r>
            <w:r w:rsidR="00691595" w:rsidRPr="00691595">
              <w:rPr>
                <w:rFonts w:ascii="Arial" w:hAnsi="Arial" w:cs="Arial"/>
                <w:noProof/>
                <w:webHidden/>
              </w:rPr>
              <w:fldChar w:fldCharType="end"/>
            </w:r>
          </w:hyperlink>
        </w:p>
        <w:p w14:paraId="4725EEEC" w14:textId="3CBC5636"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69" w:history="1">
            <w:r w:rsidR="00691595" w:rsidRPr="00691595">
              <w:rPr>
                <w:rStyle w:val="Hyperlink"/>
                <w:rFonts w:ascii="Arial" w:hAnsi="Arial" w:cs="Arial"/>
                <w:noProof/>
              </w:rPr>
              <w:t xml:space="preserve">4.4 </w:t>
            </w:r>
            <w:r w:rsidR="00691595" w:rsidRPr="00691595">
              <w:rPr>
                <w:rFonts w:ascii="Arial" w:hAnsi="Arial" w:cs="Arial"/>
                <w:noProof/>
                <w:sz w:val="22"/>
                <w:szCs w:val="22"/>
                <w:lang w:eastAsia="en-US"/>
              </w:rPr>
              <w:tab/>
            </w:r>
            <w:r w:rsidR="00691595" w:rsidRPr="00691595">
              <w:rPr>
                <w:rStyle w:val="Hyperlink"/>
                <w:rFonts w:ascii="Arial" w:hAnsi="Arial" w:cs="Arial"/>
                <w:noProof/>
              </w:rPr>
              <w:t>Available Early Access Period Registration Periods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_Toc536000369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6</w:t>
            </w:r>
            <w:r w:rsidR="00691595" w:rsidRPr="00691595">
              <w:rPr>
                <w:rFonts w:ascii="Arial" w:hAnsi="Arial" w:cs="Arial"/>
                <w:noProof/>
                <w:webHidden/>
              </w:rPr>
              <w:fldChar w:fldCharType="end"/>
            </w:r>
          </w:hyperlink>
        </w:p>
        <w:p w14:paraId="154BABB4" w14:textId="63B3650C" w:rsidR="00691595" w:rsidRPr="00691595" w:rsidRDefault="00FC4B3E">
          <w:pPr>
            <w:pStyle w:val="TOC2"/>
            <w:tabs>
              <w:tab w:val="left" w:pos="880"/>
              <w:tab w:val="right" w:leader="dot" w:pos="9350"/>
            </w:tabs>
            <w:rPr>
              <w:rFonts w:ascii="Arial" w:hAnsi="Arial" w:cs="Arial"/>
              <w:noProof/>
              <w:sz w:val="22"/>
              <w:szCs w:val="22"/>
              <w:lang w:eastAsia="en-US"/>
            </w:rPr>
          </w:pPr>
          <w:hyperlink w:anchor="_Toc536000370" w:history="1">
            <w:r w:rsidR="00691595" w:rsidRPr="00691595">
              <w:rPr>
                <w:rStyle w:val="Hyperlink"/>
                <w:rFonts w:ascii="Arial" w:hAnsi="Arial" w:cs="Arial"/>
                <w:noProof/>
              </w:rPr>
              <w:t>4.5</w:t>
            </w:r>
            <w:r w:rsidR="00691595" w:rsidRPr="00691595">
              <w:rPr>
                <w:rFonts w:ascii="Arial" w:hAnsi="Arial" w:cs="Arial"/>
                <w:noProof/>
                <w:sz w:val="22"/>
                <w:szCs w:val="22"/>
                <w:lang w:eastAsia="en-US"/>
              </w:rPr>
              <w:tab/>
            </w:r>
            <w:r w:rsidR="00691595" w:rsidRPr="00691595">
              <w:rPr>
                <w:rStyle w:val="Hyperlink"/>
                <w:rFonts w:ascii="Arial" w:hAnsi="Arial" w:cs="Arial"/>
                <w:noProof/>
              </w:rPr>
              <w:t>Miscellaneous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_Toc536000370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6</w:t>
            </w:r>
            <w:r w:rsidR="00691595" w:rsidRPr="00691595">
              <w:rPr>
                <w:rFonts w:ascii="Arial" w:hAnsi="Arial" w:cs="Arial"/>
                <w:noProof/>
                <w:webHidden/>
              </w:rPr>
              <w:fldChar w:fldCharType="end"/>
            </w:r>
          </w:hyperlink>
        </w:p>
        <w:p w14:paraId="1306D54F" w14:textId="089FC0AE" w:rsidR="00691595" w:rsidRPr="00691595" w:rsidRDefault="00FC4B3E">
          <w:pPr>
            <w:pStyle w:val="TOC1"/>
            <w:tabs>
              <w:tab w:val="left" w:pos="440"/>
              <w:tab w:val="right" w:leader="dot" w:pos="9350"/>
            </w:tabs>
            <w:rPr>
              <w:rFonts w:ascii="Arial" w:hAnsi="Arial" w:cs="Arial"/>
              <w:noProof/>
              <w:sz w:val="22"/>
              <w:szCs w:val="22"/>
              <w:lang w:eastAsia="en-US"/>
            </w:rPr>
          </w:pPr>
          <w:hyperlink w:anchor="_Toc536000371" w:history="1">
            <w:r w:rsidR="00691595" w:rsidRPr="00691595">
              <w:rPr>
                <w:rStyle w:val="Hyperlink"/>
                <w:rFonts w:ascii="Arial" w:hAnsi="Arial" w:cs="Arial"/>
                <w:noProof/>
              </w:rPr>
              <w:t>5.</w:t>
            </w:r>
            <w:r w:rsidR="00691595" w:rsidRPr="00691595">
              <w:rPr>
                <w:rFonts w:ascii="Arial" w:hAnsi="Arial" w:cs="Arial"/>
                <w:noProof/>
                <w:sz w:val="22"/>
                <w:szCs w:val="22"/>
                <w:lang w:eastAsia="en-US"/>
              </w:rPr>
              <w:tab/>
            </w:r>
            <w:r w:rsidR="00691595" w:rsidRPr="00691595">
              <w:rPr>
                <w:rStyle w:val="Hyperlink"/>
                <w:rFonts w:ascii="Arial" w:hAnsi="Arial" w:cs="Arial"/>
                <w:noProof/>
              </w:rPr>
              <w:t>General Availability</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_Toc536000371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6</w:t>
            </w:r>
            <w:r w:rsidR="00691595" w:rsidRPr="00691595">
              <w:rPr>
                <w:rFonts w:ascii="Arial" w:hAnsi="Arial" w:cs="Arial"/>
                <w:noProof/>
                <w:webHidden/>
              </w:rPr>
              <w:fldChar w:fldCharType="end"/>
            </w:r>
          </w:hyperlink>
        </w:p>
        <w:p w14:paraId="08320507" w14:textId="1CA813E5" w:rsidR="00691595" w:rsidRPr="00691595" w:rsidRDefault="00FC4B3E">
          <w:pPr>
            <w:pStyle w:val="TOC1"/>
            <w:tabs>
              <w:tab w:val="left" w:pos="440"/>
              <w:tab w:val="right" w:leader="dot" w:pos="9350"/>
            </w:tabs>
            <w:rPr>
              <w:rFonts w:ascii="Arial" w:hAnsi="Arial" w:cs="Arial"/>
              <w:noProof/>
              <w:sz w:val="22"/>
              <w:szCs w:val="22"/>
              <w:lang w:eastAsia="en-US"/>
            </w:rPr>
          </w:pPr>
          <w:hyperlink w:anchor="_Toc536000372" w:history="1">
            <w:r w:rsidR="00691595" w:rsidRPr="00691595">
              <w:rPr>
                <w:rStyle w:val="Hyperlink"/>
                <w:rFonts w:ascii="Arial" w:hAnsi="Arial" w:cs="Arial"/>
                <w:noProof/>
              </w:rPr>
              <w:t>6.</w:t>
            </w:r>
            <w:r w:rsidR="00691595" w:rsidRPr="00691595">
              <w:rPr>
                <w:rFonts w:ascii="Arial" w:hAnsi="Arial" w:cs="Arial"/>
                <w:noProof/>
                <w:sz w:val="22"/>
                <w:szCs w:val="22"/>
                <w:lang w:eastAsia="en-US"/>
              </w:rPr>
              <w:tab/>
            </w:r>
            <w:r w:rsidR="00691595" w:rsidRPr="00691595">
              <w:rPr>
                <w:rStyle w:val="Hyperlink"/>
                <w:rFonts w:ascii="Arial" w:hAnsi="Arial" w:cs="Arial"/>
                <w:noProof/>
              </w:rPr>
              <w:t>Claims Period</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_Toc536000372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6</w:t>
            </w:r>
            <w:r w:rsidR="00691595" w:rsidRPr="00691595">
              <w:rPr>
                <w:rFonts w:ascii="Arial" w:hAnsi="Arial" w:cs="Arial"/>
                <w:noProof/>
                <w:webHidden/>
              </w:rPr>
              <w:fldChar w:fldCharType="end"/>
            </w:r>
          </w:hyperlink>
        </w:p>
        <w:p w14:paraId="01F7A268" w14:textId="28735E9B" w:rsidR="00691595" w:rsidRPr="00691595" w:rsidRDefault="00FC4B3E">
          <w:pPr>
            <w:pStyle w:val="TOC1"/>
            <w:tabs>
              <w:tab w:val="left" w:pos="440"/>
              <w:tab w:val="right" w:leader="dot" w:pos="9350"/>
            </w:tabs>
            <w:rPr>
              <w:rFonts w:ascii="Arial" w:hAnsi="Arial" w:cs="Arial"/>
              <w:noProof/>
              <w:sz w:val="22"/>
              <w:szCs w:val="22"/>
              <w:lang w:eastAsia="en-US"/>
            </w:rPr>
          </w:pPr>
          <w:hyperlink w:anchor="_Toc536000373" w:history="1">
            <w:r w:rsidR="00691595" w:rsidRPr="00691595">
              <w:rPr>
                <w:rStyle w:val="Hyperlink"/>
                <w:rFonts w:ascii="Arial" w:hAnsi="Arial" w:cs="Arial"/>
                <w:noProof/>
              </w:rPr>
              <w:t>7.</w:t>
            </w:r>
            <w:r w:rsidR="00691595" w:rsidRPr="00691595">
              <w:rPr>
                <w:rFonts w:ascii="Arial" w:hAnsi="Arial" w:cs="Arial"/>
                <w:noProof/>
                <w:sz w:val="22"/>
                <w:szCs w:val="22"/>
                <w:lang w:eastAsia="en-US"/>
              </w:rPr>
              <w:tab/>
            </w:r>
            <w:r w:rsidR="00691595" w:rsidRPr="00691595">
              <w:rPr>
                <w:rStyle w:val="Hyperlink"/>
                <w:rFonts w:ascii="Arial" w:hAnsi="Arial" w:cs="Arial"/>
                <w:noProof/>
              </w:rPr>
              <w:t>Sunrise Dispute Resolution Policy (“SDRP”)</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_Toc536000373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7</w:t>
            </w:r>
            <w:r w:rsidR="00691595" w:rsidRPr="00691595">
              <w:rPr>
                <w:rFonts w:ascii="Arial" w:hAnsi="Arial" w:cs="Arial"/>
                <w:noProof/>
                <w:webHidden/>
              </w:rPr>
              <w:fldChar w:fldCharType="end"/>
            </w:r>
          </w:hyperlink>
        </w:p>
        <w:p w14:paraId="141E207D" w14:textId="17570C02" w:rsidR="00691595" w:rsidRPr="00691595" w:rsidRDefault="00FC4B3E">
          <w:pPr>
            <w:pStyle w:val="TOC1"/>
            <w:tabs>
              <w:tab w:val="left" w:pos="440"/>
              <w:tab w:val="right" w:leader="dot" w:pos="9350"/>
            </w:tabs>
            <w:rPr>
              <w:rFonts w:ascii="Arial" w:hAnsi="Arial" w:cs="Arial"/>
              <w:noProof/>
              <w:sz w:val="22"/>
              <w:szCs w:val="22"/>
              <w:lang w:eastAsia="en-US"/>
            </w:rPr>
          </w:pPr>
          <w:hyperlink w:anchor="_Toc536000374" w:history="1">
            <w:r w:rsidR="00691595" w:rsidRPr="00691595">
              <w:rPr>
                <w:rStyle w:val="Hyperlink"/>
                <w:rFonts w:ascii="Arial" w:hAnsi="Arial" w:cs="Arial"/>
                <w:noProof/>
              </w:rPr>
              <w:t>8.</w:t>
            </w:r>
            <w:r w:rsidR="00691595" w:rsidRPr="00691595">
              <w:rPr>
                <w:rFonts w:ascii="Arial" w:hAnsi="Arial" w:cs="Arial"/>
                <w:noProof/>
                <w:sz w:val="22"/>
                <w:szCs w:val="22"/>
                <w:lang w:eastAsia="en-US"/>
              </w:rPr>
              <w:tab/>
            </w:r>
            <w:r w:rsidR="00691595" w:rsidRPr="00691595">
              <w:rPr>
                <w:rStyle w:val="Hyperlink"/>
                <w:rFonts w:ascii="Arial" w:hAnsi="Arial" w:cs="Arial"/>
                <w:noProof/>
              </w:rPr>
              <w:t>Modification of These Policies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_Toc536000374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7</w:t>
            </w:r>
            <w:r w:rsidR="00691595" w:rsidRPr="00691595">
              <w:rPr>
                <w:rFonts w:ascii="Arial" w:hAnsi="Arial" w:cs="Arial"/>
                <w:noProof/>
                <w:webHidden/>
              </w:rPr>
              <w:fldChar w:fldCharType="end"/>
            </w:r>
          </w:hyperlink>
        </w:p>
        <w:p w14:paraId="62D1116F" w14:textId="19C504D3" w:rsidR="00691595" w:rsidRPr="00691595" w:rsidRDefault="00FC4B3E">
          <w:pPr>
            <w:pStyle w:val="TOC1"/>
            <w:tabs>
              <w:tab w:val="left" w:pos="440"/>
              <w:tab w:val="right" w:leader="dot" w:pos="9350"/>
            </w:tabs>
            <w:rPr>
              <w:rFonts w:ascii="Arial" w:hAnsi="Arial" w:cs="Arial"/>
              <w:noProof/>
              <w:sz w:val="22"/>
              <w:szCs w:val="22"/>
              <w:lang w:eastAsia="en-US"/>
            </w:rPr>
          </w:pPr>
          <w:hyperlink w:anchor="_Toc536000375" w:history="1">
            <w:r w:rsidR="00691595" w:rsidRPr="00691595">
              <w:rPr>
                <w:rStyle w:val="Hyperlink"/>
                <w:rFonts w:ascii="Arial" w:hAnsi="Arial" w:cs="Arial"/>
                <w:noProof/>
              </w:rPr>
              <w:t>9.</w:t>
            </w:r>
            <w:r w:rsidR="00691595" w:rsidRPr="00691595">
              <w:rPr>
                <w:rFonts w:ascii="Arial" w:hAnsi="Arial" w:cs="Arial"/>
                <w:noProof/>
                <w:sz w:val="22"/>
                <w:szCs w:val="22"/>
                <w:lang w:eastAsia="en-US"/>
              </w:rPr>
              <w:tab/>
            </w:r>
            <w:r w:rsidR="00691595" w:rsidRPr="00691595">
              <w:rPr>
                <w:rStyle w:val="Hyperlink"/>
                <w:rFonts w:ascii="Arial" w:hAnsi="Arial" w:cs="Arial"/>
                <w:noProof/>
              </w:rPr>
              <w:t>Definitions</w:t>
            </w:r>
            <w:r w:rsidR="00691595" w:rsidRPr="00691595">
              <w:rPr>
                <w:rFonts w:ascii="Arial" w:hAnsi="Arial" w:cs="Arial"/>
                <w:noProof/>
                <w:webHidden/>
              </w:rPr>
              <w:tab/>
            </w:r>
            <w:r w:rsidR="00691595" w:rsidRPr="00691595">
              <w:rPr>
                <w:rFonts w:ascii="Arial" w:hAnsi="Arial" w:cs="Arial"/>
                <w:noProof/>
                <w:webHidden/>
              </w:rPr>
              <w:fldChar w:fldCharType="begin"/>
            </w:r>
            <w:r w:rsidR="00691595" w:rsidRPr="00691595">
              <w:rPr>
                <w:rFonts w:ascii="Arial" w:hAnsi="Arial" w:cs="Arial"/>
                <w:noProof/>
                <w:webHidden/>
              </w:rPr>
              <w:instrText xml:space="preserve"> PAGEREF _Toc536000375 \h </w:instrText>
            </w:r>
            <w:r w:rsidR="00691595" w:rsidRPr="00691595">
              <w:rPr>
                <w:rFonts w:ascii="Arial" w:hAnsi="Arial" w:cs="Arial"/>
                <w:noProof/>
                <w:webHidden/>
              </w:rPr>
            </w:r>
            <w:r w:rsidR="00691595" w:rsidRPr="00691595">
              <w:rPr>
                <w:rFonts w:ascii="Arial" w:hAnsi="Arial" w:cs="Arial"/>
                <w:noProof/>
                <w:webHidden/>
              </w:rPr>
              <w:fldChar w:fldCharType="separate"/>
            </w:r>
            <w:r w:rsidR="00691595" w:rsidRPr="00691595">
              <w:rPr>
                <w:rFonts w:ascii="Arial" w:hAnsi="Arial" w:cs="Arial"/>
                <w:noProof/>
                <w:webHidden/>
              </w:rPr>
              <w:t>7</w:t>
            </w:r>
            <w:r w:rsidR="00691595" w:rsidRPr="00691595">
              <w:rPr>
                <w:rFonts w:ascii="Arial" w:hAnsi="Arial" w:cs="Arial"/>
                <w:noProof/>
                <w:webHidden/>
              </w:rPr>
              <w:fldChar w:fldCharType="end"/>
            </w:r>
          </w:hyperlink>
        </w:p>
        <w:p w14:paraId="4FB7526A" w14:textId="33B2B392" w:rsidR="002F0E14" w:rsidRPr="00627F74" w:rsidRDefault="002F0E14">
          <w:pPr>
            <w:rPr>
              <w:rFonts w:ascii="Arial" w:hAnsi="Arial" w:cs="Arial"/>
            </w:rPr>
          </w:pPr>
          <w:r w:rsidRPr="00B62820">
            <w:rPr>
              <w:rFonts w:ascii="Arial" w:hAnsi="Arial" w:cs="Arial"/>
              <w:b/>
              <w:bCs/>
              <w:noProof/>
            </w:rPr>
            <w:fldChar w:fldCharType="end"/>
          </w:r>
        </w:p>
      </w:sdtContent>
    </w:sdt>
    <w:p w14:paraId="7C016DA8" w14:textId="13F23222" w:rsidR="00E04EAC" w:rsidRPr="00627F74" w:rsidRDefault="00325D72">
      <w:pPr>
        <w:pStyle w:val="Normal1"/>
        <w:rPr>
          <w:color w:val="auto"/>
        </w:rPr>
      </w:pPr>
      <w:r w:rsidRPr="00627F74">
        <w:rPr>
          <w:color w:val="auto"/>
        </w:rPr>
        <w:br w:type="page"/>
      </w:r>
    </w:p>
    <w:p w14:paraId="5DD8CBDA" w14:textId="77777777" w:rsidR="00E04EAC" w:rsidRPr="00627F74" w:rsidRDefault="00325D72">
      <w:pPr>
        <w:pStyle w:val="Heading1"/>
        <w:contextualSpacing w:val="0"/>
        <w:rPr>
          <w:rFonts w:ascii="Arial" w:hAnsi="Arial" w:cs="Arial"/>
          <w:color w:val="auto"/>
        </w:rPr>
      </w:pPr>
      <w:bookmarkStart w:id="2" w:name="h.ruu5ujtozkyn" w:colFirst="0" w:colLast="0"/>
      <w:bookmarkStart w:id="3" w:name="_Toc536000355"/>
      <w:bookmarkEnd w:id="2"/>
      <w:r w:rsidRPr="00627F74">
        <w:rPr>
          <w:rFonts w:ascii="Arial" w:hAnsi="Arial" w:cs="Arial"/>
          <w:color w:val="auto"/>
        </w:rPr>
        <w:lastRenderedPageBreak/>
        <w:t>1.</w:t>
      </w:r>
      <w:r w:rsidRPr="00627F74">
        <w:rPr>
          <w:rFonts w:ascii="Arial" w:hAnsi="Arial" w:cs="Arial"/>
          <w:color w:val="auto"/>
        </w:rPr>
        <w:tab/>
        <w:t>Introduction and Purpose</w:t>
      </w:r>
      <w:bookmarkEnd w:id="3"/>
    </w:p>
    <w:p w14:paraId="611153EB" w14:textId="77777777" w:rsidR="00E04EAC" w:rsidRPr="00627F74" w:rsidRDefault="00E04EAC">
      <w:pPr>
        <w:pStyle w:val="Normal1"/>
        <w:widowControl w:val="0"/>
        <w:rPr>
          <w:color w:val="auto"/>
        </w:rPr>
      </w:pPr>
    </w:p>
    <w:p w14:paraId="70CD4386" w14:textId="37E7C14C" w:rsidR="00E04EAC" w:rsidRPr="00627F74" w:rsidRDefault="00DF01D3">
      <w:pPr>
        <w:pStyle w:val="Normal1"/>
        <w:rPr>
          <w:color w:val="auto"/>
        </w:rPr>
      </w:pPr>
      <w:r>
        <w:rPr>
          <w:color w:val="auto"/>
        </w:rPr>
        <w:t xml:space="preserve">These </w:t>
      </w:r>
      <w:bookmarkStart w:id="4" w:name="_Hlk55382892"/>
      <w:r>
        <w:rPr>
          <w:color w:val="auto"/>
        </w:rPr>
        <w:t>.</w:t>
      </w:r>
      <w:r w:rsidR="00B447FC">
        <w:rPr>
          <w:color w:val="auto"/>
        </w:rPr>
        <w:t>Beauty, .Hair &amp; .Skin</w:t>
      </w:r>
      <w:r>
        <w:rPr>
          <w:color w:val="auto"/>
        </w:rPr>
        <w:t xml:space="preserve"> </w:t>
      </w:r>
      <w:bookmarkEnd w:id="4"/>
      <w:r>
        <w:rPr>
          <w:color w:val="auto"/>
        </w:rPr>
        <w:t xml:space="preserve">Launch Policies (“Policies”) </w:t>
      </w:r>
      <w:r w:rsidR="00325D72" w:rsidRPr="00627F74">
        <w:rPr>
          <w:color w:val="auto"/>
        </w:rPr>
        <w:t xml:space="preserve">describe the rules that govern the launch </w:t>
      </w:r>
      <w:r w:rsidR="0038231A" w:rsidRPr="00627F74">
        <w:rPr>
          <w:color w:val="auto"/>
        </w:rPr>
        <w:t xml:space="preserve">of the </w:t>
      </w:r>
      <w:r w:rsidR="00B447FC" w:rsidRPr="00B447FC">
        <w:rPr>
          <w:color w:val="auto"/>
        </w:rPr>
        <w:t>.Beauty, .Hair &amp; .Skin</w:t>
      </w:r>
      <w:r w:rsidR="00B447FC" w:rsidRPr="00B447FC">
        <w:rPr>
          <w:color w:val="auto"/>
        </w:rPr>
        <w:t xml:space="preserve"> </w:t>
      </w:r>
      <w:r w:rsidR="002F0E14" w:rsidRPr="00627F74">
        <w:rPr>
          <w:color w:val="auto"/>
        </w:rPr>
        <w:t>Top-</w:t>
      </w:r>
      <w:r w:rsidR="00325D72" w:rsidRPr="00627F74">
        <w:rPr>
          <w:color w:val="auto"/>
        </w:rPr>
        <w:t>Level Domain (</w:t>
      </w:r>
      <w:r w:rsidR="00B820CA" w:rsidRPr="00627F74">
        <w:rPr>
          <w:color w:val="auto"/>
        </w:rPr>
        <w:t xml:space="preserve">the </w:t>
      </w:r>
      <w:r w:rsidR="00325D72" w:rsidRPr="00627F74">
        <w:rPr>
          <w:color w:val="auto"/>
        </w:rPr>
        <w:t>"</w:t>
      </w:r>
      <w:r w:rsidR="0004640D" w:rsidRPr="00627F74">
        <w:rPr>
          <w:color w:val="auto"/>
        </w:rPr>
        <w:t>TLD</w:t>
      </w:r>
      <w:r w:rsidR="00B447FC">
        <w:rPr>
          <w:color w:val="auto"/>
        </w:rPr>
        <w:t>s</w:t>
      </w:r>
      <w:r w:rsidR="00325D72" w:rsidRPr="00627F74">
        <w:rPr>
          <w:color w:val="auto"/>
        </w:rPr>
        <w:t>") by XYZ.COM LLC ("Registry Operator</w:t>
      </w:r>
      <w:r w:rsidR="00C62C8D" w:rsidRPr="00627F74">
        <w:rPr>
          <w:color w:val="auto"/>
        </w:rPr>
        <w:t>,</w:t>
      </w:r>
      <w:r w:rsidR="00325D72" w:rsidRPr="00627F74">
        <w:rPr>
          <w:color w:val="auto"/>
        </w:rPr>
        <w:t>"</w:t>
      </w:r>
      <w:r w:rsidR="00786ED3" w:rsidRPr="00627F74">
        <w:rPr>
          <w:color w:val="auto"/>
        </w:rPr>
        <w:t xml:space="preserve"> </w:t>
      </w:r>
      <w:r w:rsidR="00627F74">
        <w:rPr>
          <w:color w:val="auto"/>
        </w:rPr>
        <w:t>”Registry,” “w</w:t>
      </w:r>
      <w:r w:rsidR="00C62C8D" w:rsidRPr="00627F74">
        <w:rPr>
          <w:color w:val="auto"/>
        </w:rPr>
        <w:t xml:space="preserve">e” </w:t>
      </w:r>
      <w:r w:rsidR="00627F74">
        <w:rPr>
          <w:color w:val="auto"/>
        </w:rPr>
        <w:t xml:space="preserve">“us” </w:t>
      </w:r>
      <w:r w:rsidR="00C62C8D" w:rsidRPr="00627F74">
        <w:rPr>
          <w:color w:val="auto"/>
        </w:rPr>
        <w:t>or “RO”</w:t>
      </w:r>
      <w:r w:rsidR="00325D72" w:rsidRPr="00627F74">
        <w:rPr>
          <w:color w:val="auto"/>
        </w:rPr>
        <w:t xml:space="preserve">). </w:t>
      </w:r>
      <w:r w:rsidR="002F0E14" w:rsidRPr="00627F74">
        <w:rPr>
          <w:color w:val="auto"/>
        </w:rPr>
        <w:t xml:space="preserve">The </w:t>
      </w:r>
      <w:r>
        <w:rPr>
          <w:color w:val="auto"/>
        </w:rPr>
        <w:t xml:space="preserve">launch and </w:t>
      </w:r>
      <w:r w:rsidR="002F0E14" w:rsidRPr="00627F74">
        <w:rPr>
          <w:color w:val="auto"/>
        </w:rPr>
        <w:t>continued</w:t>
      </w:r>
      <w:r w:rsidR="009627A7" w:rsidRPr="00627F74">
        <w:rPr>
          <w:color w:val="auto"/>
        </w:rPr>
        <w:t xml:space="preserve"> operation</w:t>
      </w:r>
      <w:r>
        <w:rPr>
          <w:color w:val="auto"/>
        </w:rPr>
        <w:t xml:space="preserve"> of the TLD</w:t>
      </w:r>
      <w:r w:rsidR="00B447FC">
        <w:rPr>
          <w:color w:val="auto"/>
        </w:rPr>
        <w:t>s</w:t>
      </w:r>
      <w:r>
        <w:rPr>
          <w:color w:val="auto"/>
        </w:rPr>
        <w:t xml:space="preserve"> is governed by the XYZ Domain Name </w:t>
      </w:r>
      <w:r w:rsidR="002F0E14" w:rsidRPr="00627F74">
        <w:rPr>
          <w:color w:val="auto"/>
        </w:rPr>
        <w:t xml:space="preserve">Policies </w:t>
      </w:r>
      <w:r w:rsidR="009627A7" w:rsidRPr="00627F74">
        <w:rPr>
          <w:color w:val="auto"/>
        </w:rPr>
        <w:t xml:space="preserve">which </w:t>
      </w:r>
      <w:r w:rsidR="0038231A" w:rsidRPr="00627F74">
        <w:rPr>
          <w:color w:val="auto"/>
        </w:rPr>
        <w:t xml:space="preserve">are separate from, but should be read together with these Policies, and </w:t>
      </w:r>
      <w:r w:rsidR="009627A7" w:rsidRPr="00627F74">
        <w:rPr>
          <w:color w:val="auto"/>
        </w:rPr>
        <w:t xml:space="preserve">can be found at </w:t>
      </w:r>
      <w:bookmarkStart w:id="5" w:name="_Hlk55382924"/>
      <w:r w:rsidR="009627A7" w:rsidRPr="00627F74">
        <w:rPr>
          <w:color w:val="auto"/>
        </w:rPr>
        <w:t>http://nic.</w:t>
      </w:r>
      <w:r w:rsidR="00B447FC">
        <w:rPr>
          <w:color w:val="auto"/>
        </w:rPr>
        <w:t>beauty</w:t>
      </w:r>
      <w:bookmarkEnd w:id="5"/>
      <w:r w:rsidR="00B447FC">
        <w:rPr>
          <w:color w:val="auto"/>
        </w:rPr>
        <w:t xml:space="preserve">, </w:t>
      </w:r>
      <w:r w:rsidR="00B447FC" w:rsidRPr="00B447FC">
        <w:rPr>
          <w:color w:val="auto"/>
        </w:rPr>
        <w:t>http://nic.</w:t>
      </w:r>
      <w:r w:rsidR="00B447FC">
        <w:rPr>
          <w:color w:val="auto"/>
        </w:rPr>
        <w:t xml:space="preserve">hair and </w:t>
      </w:r>
      <w:r w:rsidR="00B447FC" w:rsidRPr="00264A20">
        <w:rPr>
          <w:color w:val="auto"/>
        </w:rPr>
        <w:t>http://nic.</w:t>
      </w:r>
      <w:r w:rsidR="00B447FC" w:rsidRPr="00264A20">
        <w:rPr>
          <w:color w:val="auto"/>
        </w:rPr>
        <w:t>skin</w:t>
      </w:r>
      <w:r w:rsidR="00B447FC">
        <w:rPr>
          <w:color w:val="auto"/>
        </w:rPr>
        <w:t>, respectively</w:t>
      </w:r>
      <w:r w:rsidR="009627A7" w:rsidRPr="00627F74">
        <w:rPr>
          <w:color w:val="auto"/>
        </w:rPr>
        <w:t xml:space="preserve">. </w:t>
      </w:r>
      <w:r w:rsidR="00325D72" w:rsidRPr="00627F74">
        <w:rPr>
          <w:color w:val="auto"/>
        </w:rPr>
        <w:t xml:space="preserve">This document will proscribe certain protections to the various entities described in this document, comply with ICANN’s requirements for the </w:t>
      </w:r>
      <w:r w:rsidR="0004640D" w:rsidRPr="00627F74">
        <w:rPr>
          <w:color w:val="auto"/>
        </w:rPr>
        <w:t>TLD</w:t>
      </w:r>
      <w:r w:rsidR="00B447FC">
        <w:rPr>
          <w:color w:val="auto"/>
        </w:rPr>
        <w:t>s</w:t>
      </w:r>
      <w:r w:rsidR="00D423AA" w:rsidRPr="00627F74">
        <w:rPr>
          <w:color w:val="auto"/>
        </w:rPr>
        <w:t>,</w:t>
      </w:r>
      <w:r w:rsidR="00325D72" w:rsidRPr="00627F74">
        <w:rPr>
          <w:color w:val="auto"/>
        </w:rPr>
        <w:t xml:space="preserve"> and will describe </w:t>
      </w:r>
      <w:r w:rsidR="00C96A5A" w:rsidRPr="00627F74">
        <w:rPr>
          <w:color w:val="auto"/>
        </w:rPr>
        <w:t>how</w:t>
      </w:r>
      <w:r w:rsidR="00325D72" w:rsidRPr="00627F74">
        <w:rPr>
          <w:color w:val="auto"/>
        </w:rPr>
        <w:t xml:space="preserve"> domain names will be allocated to various types of domain name Applicants. </w:t>
      </w:r>
    </w:p>
    <w:p w14:paraId="0DA44DC4" w14:textId="77777777" w:rsidR="00E04EAC" w:rsidRPr="00627F74" w:rsidRDefault="00E04EAC">
      <w:pPr>
        <w:pStyle w:val="Normal1"/>
        <w:rPr>
          <w:color w:val="auto"/>
        </w:rPr>
      </w:pPr>
    </w:p>
    <w:p w14:paraId="734802D6" w14:textId="5B5699B8" w:rsidR="00E04EAC" w:rsidRPr="00627F74" w:rsidRDefault="00325D72">
      <w:pPr>
        <w:pStyle w:val="Normal1"/>
        <w:rPr>
          <w:color w:val="auto"/>
        </w:rPr>
      </w:pPr>
      <w:r w:rsidRPr="00627F74">
        <w:rPr>
          <w:color w:val="auto"/>
        </w:rPr>
        <w:t xml:space="preserve">The launch </w:t>
      </w:r>
      <w:r w:rsidR="00C62C8D" w:rsidRPr="00627F74">
        <w:rPr>
          <w:color w:val="auto"/>
        </w:rPr>
        <w:t xml:space="preserve">of the </w:t>
      </w:r>
      <w:r w:rsidR="0004640D" w:rsidRPr="00627F74">
        <w:rPr>
          <w:color w:val="auto"/>
        </w:rPr>
        <w:t>TLD</w:t>
      </w:r>
      <w:r w:rsidR="00B447FC">
        <w:rPr>
          <w:color w:val="auto"/>
        </w:rPr>
        <w:t>s</w:t>
      </w:r>
      <w:r w:rsidR="00C62C8D" w:rsidRPr="00627F74">
        <w:rPr>
          <w:color w:val="auto"/>
        </w:rPr>
        <w:t xml:space="preserve"> </w:t>
      </w:r>
      <w:r w:rsidRPr="00627F74">
        <w:rPr>
          <w:color w:val="auto"/>
        </w:rPr>
        <w:t xml:space="preserve">will consist of a series of launch periods, each of which is described in this document. Specific information and requirements for those wishing to participate in the launch of the </w:t>
      </w:r>
      <w:r w:rsidR="0004640D" w:rsidRPr="00627F74">
        <w:rPr>
          <w:color w:val="auto"/>
        </w:rPr>
        <w:t>TLD</w:t>
      </w:r>
      <w:r w:rsidR="00D94741">
        <w:rPr>
          <w:color w:val="auto"/>
        </w:rPr>
        <w:t>s</w:t>
      </w:r>
      <w:r w:rsidRPr="00627F74">
        <w:rPr>
          <w:color w:val="auto"/>
        </w:rPr>
        <w:t xml:space="preserve"> are detailed in relation to each of those periods. </w:t>
      </w:r>
    </w:p>
    <w:p w14:paraId="2CA1B325" w14:textId="77777777" w:rsidR="00E04EAC" w:rsidRPr="00627F74" w:rsidRDefault="00E04EAC">
      <w:pPr>
        <w:pStyle w:val="Normal1"/>
        <w:rPr>
          <w:color w:val="auto"/>
        </w:rPr>
      </w:pPr>
    </w:p>
    <w:p w14:paraId="52625F64" w14:textId="245410F8" w:rsidR="00E04EAC" w:rsidRPr="00627F74" w:rsidRDefault="00325D72">
      <w:pPr>
        <w:pStyle w:val="Normal1"/>
        <w:rPr>
          <w:color w:val="auto"/>
        </w:rPr>
      </w:pPr>
      <w:r w:rsidRPr="00627F74">
        <w:rPr>
          <w:color w:val="auto"/>
        </w:rPr>
        <w:t xml:space="preserve">ICANN requires that the Registry Operator, in the management of the </w:t>
      </w:r>
      <w:r w:rsidR="0004640D" w:rsidRPr="00627F74">
        <w:rPr>
          <w:color w:val="auto"/>
        </w:rPr>
        <w:t>TLD</w:t>
      </w:r>
      <w:r w:rsidR="00B447FC">
        <w:rPr>
          <w:color w:val="auto"/>
        </w:rPr>
        <w:t>s</w:t>
      </w:r>
      <w:r w:rsidRPr="00627F74">
        <w:rPr>
          <w:color w:val="auto"/>
        </w:rPr>
        <w:t xml:space="preserve">, implement certain Rights Protection Mechanisms (often referred to as RPMs) to discourage or prevent registration of domain names that violate or abuse another party’s legal rights. Rights Protection Mechanisms may exist in different forms dependent on the stage or period of operation of the </w:t>
      </w:r>
      <w:r w:rsidR="0004640D" w:rsidRPr="00627F74">
        <w:rPr>
          <w:color w:val="auto"/>
        </w:rPr>
        <w:t>TLD</w:t>
      </w:r>
      <w:r w:rsidR="00D94741">
        <w:rPr>
          <w:color w:val="auto"/>
        </w:rPr>
        <w:t>s</w:t>
      </w:r>
      <w:r w:rsidRPr="00627F74">
        <w:rPr>
          <w:color w:val="auto"/>
        </w:rPr>
        <w:t>. Some Rights Protection Mechanisms exist for a defined period of time, while others may subsist or become active as a result of certain conditions. Details about ICANN’s requirements for Rights Protection Mechanisms can be found on the ICANN website at the following link: http://newg</w:t>
      </w:r>
      <w:r w:rsidR="0004640D" w:rsidRPr="00627F74">
        <w:rPr>
          <w:color w:val="auto"/>
        </w:rPr>
        <w:t>TLD</w:t>
      </w:r>
      <w:r w:rsidRPr="00627F74">
        <w:rPr>
          <w:color w:val="auto"/>
        </w:rPr>
        <w:t>.icann.org/en/about/trademark-clearinghouse.</w:t>
      </w:r>
    </w:p>
    <w:p w14:paraId="22F26E13" w14:textId="77777777" w:rsidR="00E04EAC" w:rsidRPr="00627F74" w:rsidRDefault="00E04EAC">
      <w:pPr>
        <w:pStyle w:val="Normal1"/>
        <w:rPr>
          <w:color w:val="auto"/>
        </w:rPr>
      </w:pPr>
    </w:p>
    <w:p w14:paraId="49759436" w14:textId="77777777" w:rsidR="00E04EAC" w:rsidRPr="00627F74" w:rsidRDefault="00325D72">
      <w:pPr>
        <w:pStyle w:val="Normal1"/>
        <w:rPr>
          <w:color w:val="auto"/>
        </w:rPr>
      </w:pPr>
      <w:r w:rsidRPr="00627F74">
        <w:rPr>
          <w:color w:val="auto"/>
        </w:rPr>
        <w:t xml:space="preserve">ICANN has established the Trademark Clearinghouse and associated processes and procedures so that the Registry Operator can comply with its obligation to implement Rights Protection Mechanisms. </w:t>
      </w:r>
    </w:p>
    <w:p w14:paraId="3EC3B622" w14:textId="77777777" w:rsidR="00E04EAC" w:rsidRPr="00627F74" w:rsidRDefault="00E04EAC">
      <w:pPr>
        <w:pStyle w:val="Normal1"/>
        <w:rPr>
          <w:color w:val="auto"/>
        </w:rPr>
      </w:pPr>
    </w:p>
    <w:p w14:paraId="752EFA02" w14:textId="299E7E94" w:rsidR="00E04EAC" w:rsidRPr="00627F74" w:rsidRDefault="00325D72">
      <w:pPr>
        <w:pStyle w:val="Normal1"/>
        <w:rPr>
          <w:color w:val="auto"/>
        </w:rPr>
      </w:pPr>
      <w:r w:rsidRPr="00627F74">
        <w:rPr>
          <w:color w:val="auto"/>
        </w:rPr>
        <w:t xml:space="preserve">ICANN has appointed </w:t>
      </w:r>
      <w:r w:rsidR="00C62C8D" w:rsidRPr="00627F74">
        <w:rPr>
          <w:color w:val="auto"/>
        </w:rPr>
        <w:t xml:space="preserve">third-party </w:t>
      </w:r>
      <w:r w:rsidRPr="00627F74">
        <w:rPr>
          <w:color w:val="auto"/>
        </w:rPr>
        <w:t>providers, the TMCH Sunrise and Claims Operator(s)</w:t>
      </w:r>
      <w:r w:rsidR="00C62C8D" w:rsidRPr="00627F74">
        <w:rPr>
          <w:color w:val="auto"/>
        </w:rPr>
        <w:t xml:space="preserve"> (both defined below)</w:t>
      </w:r>
      <w:r w:rsidRPr="00627F74">
        <w:rPr>
          <w:color w:val="auto"/>
        </w:rPr>
        <w:t>, to operate the Trademark Clearinghouse</w:t>
      </w:r>
      <w:r w:rsidR="00C62C8D" w:rsidRPr="00627F74">
        <w:rPr>
          <w:color w:val="auto"/>
        </w:rPr>
        <w:t xml:space="preserve"> (defined below)</w:t>
      </w:r>
      <w:r w:rsidRPr="00627F74">
        <w:rPr>
          <w:color w:val="auto"/>
        </w:rPr>
        <w:t xml:space="preserve">. Registry Operator's implementation of the Service </w:t>
      </w:r>
      <w:r w:rsidR="00C62C8D" w:rsidRPr="00627F74">
        <w:rPr>
          <w:color w:val="auto"/>
        </w:rPr>
        <w:t xml:space="preserve">(defined below) </w:t>
      </w:r>
      <w:r w:rsidRPr="00627F74">
        <w:rPr>
          <w:color w:val="auto"/>
        </w:rPr>
        <w:t xml:space="preserve">has been integrated and tested with the TMCH Sunrise and Claims Operator. Information about the Trademark Clearinghouse and the TMCH Sunrise and Claims Operator can be found at the following link http://trademark-clearinghouse.com/. </w:t>
      </w:r>
    </w:p>
    <w:p w14:paraId="263A1FC1" w14:textId="77777777" w:rsidR="00E04EAC" w:rsidRPr="00627F74" w:rsidRDefault="00E04EAC">
      <w:pPr>
        <w:pStyle w:val="Normal1"/>
        <w:rPr>
          <w:color w:val="auto"/>
        </w:rPr>
      </w:pPr>
    </w:p>
    <w:p w14:paraId="1EE100DD" w14:textId="406ACE51" w:rsidR="00E04EAC" w:rsidRPr="00627F74" w:rsidRDefault="00325D72">
      <w:pPr>
        <w:pStyle w:val="Normal1"/>
        <w:rPr>
          <w:color w:val="auto"/>
        </w:rPr>
      </w:pPr>
      <w:r w:rsidRPr="00627F74">
        <w:rPr>
          <w:color w:val="auto"/>
        </w:rPr>
        <w:t>Where applicable</w:t>
      </w:r>
      <w:r w:rsidR="00C62C8D" w:rsidRPr="00627F74">
        <w:rPr>
          <w:color w:val="auto"/>
        </w:rPr>
        <w:t>,</w:t>
      </w:r>
      <w:r w:rsidRPr="00627F74">
        <w:rPr>
          <w:color w:val="auto"/>
        </w:rPr>
        <w:t xml:space="preserve"> the Registry Operator's role is to verify the information provided by a Registrar to the Registry Operator, with that information that is contained in the Trademark Clearinghouse. The Registry Operator does not make any decisions about the validity or use of a mark or its inclusion in the Trademark Clearinghouse</w:t>
      </w:r>
    </w:p>
    <w:p w14:paraId="38EAD848" w14:textId="77777777" w:rsidR="00E04EAC" w:rsidRPr="00627F74" w:rsidRDefault="00E04EAC">
      <w:pPr>
        <w:pStyle w:val="Normal1"/>
        <w:rPr>
          <w:color w:val="auto"/>
        </w:rPr>
      </w:pPr>
    </w:p>
    <w:p w14:paraId="24780C43" w14:textId="1CC1A50A" w:rsidR="00E04EAC" w:rsidRPr="00627F74" w:rsidRDefault="008D4317">
      <w:pPr>
        <w:pStyle w:val="Normal1"/>
        <w:rPr>
          <w:color w:val="auto"/>
        </w:rPr>
      </w:pPr>
      <w:r w:rsidRPr="00627F74">
        <w:rPr>
          <w:color w:val="auto"/>
        </w:rPr>
        <w:t>These Policies apply</w:t>
      </w:r>
      <w:r w:rsidR="00325D72" w:rsidRPr="00627F74">
        <w:rPr>
          <w:color w:val="auto"/>
        </w:rPr>
        <w:t xml:space="preserve"> to:  </w:t>
      </w:r>
    </w:p>
    <w:p w14:paraId="4D773A9A" w14:textId="77777777" w:rsidR="004C3A33" w:rsidRPr="00627F74" w:rsidRDefault="00325D72">
      <w:pPr>
        <w:pStyle w:val="Normal1"/>
        <w:numPr>
          <w:ilvl w:val="0"/>
          <w:numId w:val="4"/>
        </w:numPr>
        <w:ind w:hanging="359"/>
        <w:contextualSpacing/>
        <w:rPr>
          <w:color w:val="auto"/>
        </w:rPr>
      </w:pPr>
      <w:r w:rsidRPr="00627F74">
        <w:rPr>
          <w:color w:val="auto"/>
        </w:rPr>
        <w:t>Persons or entities</w:t>
      </w:r>
      <w:r w:rsidR="004C3A33" w:rsidRPr="00627F74">
        <w:rPr>
          <w:color w:val="auto"/>
        </w:rPr>
        <w:t xml:space="preserve"> </w:t>
      </w:r>
      <w:proofErr w:type="gramStart"/>
      <w:r w:rsidR="004C3A33" w:rsidRPr="00627F74">
        <w:rPr>
          <w:color w:val="auto"/>
        </w:rPr>
        <w:t>submitting an Application</w:t>
      </w:r>
      <w:proofErr w:type="gramEnd"/>
      <w:r w:rsidR="004C3A33" w:rsidRPr="00627F74">
        <w:rPr>
          <w:color w:val="auto"/>
        </w:rPr>
        <w:t>;</w:t>
      </w:r>
    </w:p>
    <w:p w14:paraId="2C7B3278" w14:textId="6B10F0F9" w:rsidR="00E04EAC" w:rsidRPr="00627F74" w:rsidRDefault="004C3A33">
      <w:pPr>
        <w:pStyle w:val="Normal1"/>
        <w:numPr>
          <w:ilvl w:val="0"/>
          <w:numId w:val="4"/>
        </w:numPr>
        <w:ind w:hanging="359"/>
        <w:contextualSpacing/>
        <w:rPr>
          <w:color w:val="auto"/>
        </w:rPr>
      </w:pPr>
      <w:r w:rsidRPr="00627F74">
        <w:rPr>
          <w:color w:val="auto"/>
        </w:rPr>
        <w:t>Registrants; and</w:t>
      </w:r>
      <w:r w:rsidR="00325D72" w:rsidRPr="00627F74">
        <w:rPr>
          <w:color w:val="auto"/>
        </w:rPr>
        <w:t xml:space="preserve"> </w:t>
      </w:r>
    </w:p>
    <w:p w14:paraId="0D4BEE0E" w14:textId="77777777" w:rsidR="00E04EAC" w:rsidRPr="00627F74" w:rsidRDefault="00325D72">
      <w:pPr>
        <w:pStyle w:val="Normal1"/>
        <w:numPr>
          <w:ilvl w:val="0"/>
          <w:numId w:val="4"/>
        </w:numPr>
        <w:ind w:hanging="359"/>
        <w:contextualSpacing/>
        <w:rPr>
          <w:color w:val="auto"/>
        </w:rPr>
      </w:pPr>
      <w:r w:rsidRPr="00627F74">
        <w:rPr>
          <w:color w:val="auto"/>
        </w:rPr>
        <w:t>Registrars.</w:t>
      </w:r>
    </w:p>
    <w:p w14:paraId="63B0CFDD" w14:textId="77777777" w:rsidR="006212D0" w:rsidRPr="00627F74" w:rsidRDefault="006212D0" w:rsidP="006212D0">
      <w:pPr>
        <w:pStyle w:val="Normal1"/>
        <w:contextualSpacing/>
        <w:rPr>
          <w:color w:val="auto"/>
        </w:rPr>
      </w:pPr>
    </w:p>
    <w:p w14:paraId="4D8C08DB" w14:textId="6038F733" w:rsidR="0038231A" w:rsidRPr="00627F74" w:rsidRDefault="00AC26E0" w:rsidP="0038231A">
      <w:pPr>
        <w:pStyle w:val="Heading1"/>
        <w:contextualSpacing w:val="0"/>
        <w:rPr>
          <w:rFonts w:ascii="Arial" w:hAnsi="Arial" w:cs="Arial"/>
          <w:color w:val="auto"/>
        </w:rPr>
      </w:pPr>
      <w:bookmarkStart w:id="6" w:name="h.yr63a3rapw1o" w:colFirst="0" w:colLast="0"/>
      <w:bookmarkStart w:id="7" w:name="h.so7o9ljjnn05" w:colFirst="0" w:colLast="0"/>
      <w:bookmarkStart w:id="8" w:name="_Toc536000356"/>
      <w:bookmarkEnd w:id="6"/>
      <w:bookmarkEnd w:id="7"/>
      <w:r>
        <w:rPr>
          <w:rFonts w:ascii="Arial" w:hAnsi="Arial" w:cs="Arial"/>
          <w:color w:val="auto"/>
        </w:rPr>
        <w:t>2</w:t>
      </w:r>
      <w:r w:rsidR="0038231A" w:rsidRPr="00627F74">
        <w:rPr>
          <w:rFonts w:ascii="Arial" w:hAnsi="Arial" w:cs="Arial"/>
          <w:color w:val="auto"/>
        </w:rPr>
        <w:t xml:space="preserve">. </w:t>
      </w:r>
      <w:r w:rsidR="0038231A" w:rsidRPr="00627F74">
        <w:rPr>
          <w:rFonts w:ascii="Arial" w:hAnsi="Arial" w:cs="Arial"/>
          <w:color w:val="auto"/>
        </w:rPr>
        <w:tab/>
      </w:r>
      <w:r w:rsidR="005C540E">
        <w:rPr>
          <w:rFonts w:ascii="Arial" w:hAnsi="Arial" w:cs="Arial"/>
          <w:color w:val="auto"/>
        </w:rPr>
        <w:t>Summary</w:t>
      </w:r>
      <w:r w:rsidR="00954BFD">
        <w:rPr>
          <w:rFonts w:ascii="Arial" w:hAnsi="Arial" w:cs="Arial"/>
          <w:color w:val="auto"/>
        </w:rPr>
        <w:t xml:space="preserve"> of</w:t>
      </w:r>
      <w:r w:rsidR="005C540E">
        <w:rPr>
          <w:rFonts w:ascii="Arial" w:hAnsi="Arial" w:cs="Arial"/>
          <w:color w:val="auto"/>
        </w:rPr>
        <w:t xml:space="preserve"> Launch Periods</w:t>
      </w:r>
      <w:bookmarkEnd w:id="8"/>
    </w:p>
    <w:p w14:paraId="704AF5C2" w14:textId="2A12AB79" w:rsidR="00E04EAC" w:rsidRPr="00627F74" w:rsidRDefault="00E04EAC">
      <w:pPr>
        <w:pStyle w:val="Normal1"/>
        <w:widowControl w:val="0"/>
        <w:rPr>
          <w:color w:val="auto"/>
        </w:rPr>
      </w:pPr>
    </w:p>
    <w:p w14:paraId="2948FB1A" w14:textId="1080F5F9" w:rsidR="009627A7" w:rsidRPr="00627F74" w:rsidRDefault="00691595">
      <w:pPr>
        <w:pStyle w:val="Normal1"/>
        <w:widowControl w:val="0"/>
        <w:rPr>
          <w:color w:val="auto"/>
        </w:rPr>
      </w:pPr>
      <w:r>
        <w:rPr>
          <w:color w:val="auto"/>
        </w:rPr>
        <w:t xml:space="preserve">  </w:t>
      </w:r>
    </w:p>
    <w:p w14:paraId="5C635070" w14:textId="77777777" w:rsidR="009627A7" w:rsidRPr="00627F74" w:rsidRDefault="009627A7">
      <w:pPr>
        <w:pStyle w:val="Normal1"/>
        <w:widowControl w:val="0"/>
        <w:rPr>
          <w:color w:val="auto"/>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250"/>
        <w:gridCol w:w="2900"/>
        <w:gridCol w:w="5210"/>
      </w:tblGrid>
      <w:tr w:rsidR="0073221F" w:rsidRPr="00627F74" w14:paraId="782E52C5" w14:textId="77777777" w:rsidTr="002C79DD">
        <w:tc>
          <w:tcPr>
            <w:tcW w:w="1250" w:type="dxa"/>
            <w:shd w:val="clear" w:color="auto" w:fill="810F30"/>
            <w:tcMar>
              <w:top w:w="100" w:type="dxa"/>
              <w:left w:w="100" w:type="dxa"/>
              <w:bottom w:w="100" w:type="dxa"/>
              <w:right w:w="100" w:type="dxa"/>
            </w:tcMar>
            <w:vAlign w:val="center"/>
          </w:tcPr>
          <w:p w14:paraId="06C2F7E2" w14:textId="77777777" w:rsidR="00E04EAC" w:rsidRPr="00627F74" w:rsidRDefault="00325D72" w:rsidP="00573B15">
            <w:pPr>
              <w:pStyle w:val="Normal1"/>
              <w:widowControl w:val="0"/>
              <w:spacing w:line="240" w:lineRule="auto"/>
              <w:jc w:val="center"/>
              <w:rPr>
                <w:color w:val="auto"/>
              </w:rPr>
            </w:pPr>
            <w:r w:rsidRPr="00627F74">
              <w:rPr>
                <w:b/>
                <w:color w:val="auto"/>
              </w:rPr>
              <w:t>Launch Phase</w:t>
            </w:r>
          </w:p>
        </w:tc>
        <w:tc>
          <w:tcPr>
            <w:tcW w:w="2900" w:type="dxa"/>
            <w:shd w:val="clear" w:color="auto" w:fill="810F30"/>
            <w:tcMar>
              <w:top w:w="100" w:type="dxa"/>
              <w:left w:w="100" w:type="dxa"/>
              <w:bottom w:w="100" w:type="dxa"/>
              <w:right w:w="100" w:type="dxa"/>
            </w:tcMar>
            <w:vAlign w:val="center"/>
          </w:tcPr>
          <w:p w14:paraId="00AC5BDE" w14:textId="5C67A9E5" w:rsidR="00E04EAC" w:rsidRPr="00627F74" w:rsidRDefault="00325D72" w:rsidP="00573B15">
            <w:pPr>
              <w:pStyle w:val="Normal1"/>
              <w:widowControl w:val="0"/>
              <w:spacing w:line="240" w:lineRule="auto"/>
              <w:jc w:val="center"/>
              <w:rPr>
                <w:color w:val="auto"/>
              </w:rPr>
            </w:pPr>
            <w:r w:rsidRPr="00627F74">
              <w:rPr>
                <w:b/>
                <w:color w:val="auto"/>
              </w:rPr>
              <w:t>Timeframe</w:t>
            </w:r>
            <w:r w:rsidR="007C3EBA" w:rsidRPr="00627F74">
              <w:rPr>
                <w:b/>
                <w:color w:val="auto"/>
              </w:rPr>
              <w:t>*</w:t>
            </w:r>
          </w:p>
        </w:tc>
        <w:tc>
          <w:tcPr>
            <w:tcW w:w="5210" w:type="dxa"/>
            <w:shd w:val="clear" w:color="auto" w:fill="810F30"/>
            <w:tcMar>
              <w:top w:w="100" w:type="dxa"/>
              <w:left w:w="100" w:type="dxa"/>
              <w:bottom w:w="100" w:type="dxa"/>
              <w:right w:w="100" w:type="dxa"/>
            </w:tcMar>
            <w:vAlign w:val="center"/>
          </w:tcPr>
          <w:p w14:paraId="6F4D010D" w14:textId="77777777" w:rsidR="00E04EAC" w:rsidRPr="00627F74" w:rsidRDefault="00325D72" w:rsidP="00573B15">
            <w:pPr>
              <w:pStyle w:val="Normal1"/>
              <w:widowControl w:val="0"/>
              <w:spacing w:line="240" w:lineRule="auto"/>
              <w:jc w:val="center"/>
              <w:rPr>
                <w:color w:val="auto"/>
              </w:rPr>
            </w:pPr>
            <w:r w:rsidRPr="00627F74">
              <w:rPr>
                <w:b/>
                <w:color w:val="auto"/>
              </w:rPr>
              <w:t>Description</w:t>
            </w:r>
          </w:p>
        </w:tc>
      </w:tr>
      <w:tr w:rsidR="0073221F" w:rsidRPr="00627F74" w14:paraId="75C6DB86" w14:textId="77777777" w:rsidTr="00573B15">
        <w:tc>
          <w:tcPr>
            <w:tcW w:w="1250" w:type="dxa"/>
            <w:tcMar>
              <w:top w:w="100" w:type="dxa"/>
              <w:left w:w="100" w:type="dxa"/>
              <w:bottom w:w="100" w:type="dxa"/>
              <w:right w:w="100" w:type="dxa"/>
            </w:tcMar>
          </w:tcPr>
          <w:p w14:paraId="242A4F79" w14:textId="5A447127" w:rsidR="00E04EAC" w:rsidRPr="006915E8" w:rsidRDefault="00AC26E0" w:rsidP="00B820CA">
            <w:pPr>
              <w:pStyle w:val="Normal1"/>
              <w:widowControl w:val="0"/>
              <w:spacing w:line="240" w:lineRule="auto"/>
              <w:jc w:val="center"/>
              <w:rPr>
                <w:color w:val="auto"/>
              </w:rPr>
            </w:pPr>
            <w:r w:rsidRPr="006915E8">
              <w:rPr>
                <w:color w:val="auto"/>
              </w:rPr>
              <w:t>Sunrise Period</w:t>
            </w:r>
          </w:p>
        </w:tc>
        <w:tc>
          <w:tcPr>
            <w:tcW w:w="2900" w:type="dxa"/>
            <w:tcMar>
              <w:top w:w="100" w:type="dxa"/>
              <w:left w:w="100" w:type="dxa"/>
              <w:bottom w:w="100" w:type="dxa"/>
              <w:right w:w="100" w:type="dxa"/>
            </w:tcMar>
          </w:tcPr>
          <w:p w14:paraId="06378AD6" w14:textId="6C2D99F8" w:rsidR="00E04EAC" w:rsidRPr="006915E8" w:rsidRDefault="00692BAD" w:rsidP="007D57AF">
            <w:pPr>
              <w:pStyle w:val="Normal1"/>
              <w:widowControl w:val="0"/>
              <w:spacing w:line="240" w:lineRule="auto"/>
              <w:rPr>
                <w:color w:val="auto"/>
              </w:rPr>
            </w:pPr>
            <w:r w:rsidRPr="006915E8">
              <w:rPr>
                <w:color w:val="auto"/>
              </w:rPr>
              <w:t xml:space="preserve">  </w:t>
            </w:r>
            <w:r w:rsidR="005C540E" w:rsidRPr="006915E8">
              <w:rPr>
                <w:color w:val="auto"/>
              </w:rPr>
              <w:t>See Registry Website</w:t>
            </w:r>
          </w:p>
        </w:tc>
        <w:tc>
          <w:tcPr>
            <w:tcW w:w="5210" w:type="dxa"/>
            <w:tcMar>
              <w:top w:w="100" w:type="dxa"/>
              <w:left w:w="100" w:type="dxa"/>
              <w:bottom w:w="100" w:type="dxa"/>
              <w:right w:w="100" w:type="dxa"/>
            </w:tcMar>
          </w:tcPr>
          <w:p w14:paraId="1BD5D7DC" w14:textId="11238475" w:rsidR="00E04EAC" w:rsidRPr="006915E8" w:rsidRDefault="006915E8" w:rsidP="0073221F">
            <w:pPr>
              <w:pStyle w:val="Normal1"/>
              <w:widowControl w:val="0"/>
              <w:spacing w:line="240" w:lineRule="auto"/>
              <w:rPr>
                <w:color w:val="auto"/>
              </w:rPr>
            </w:pPr>
            <w:r w:rsidRPr="006915E8">
              <w:rPr>
                <w:color w:val="auto"/>
              </w:rPr>
              <w:t>Available only to trademark holders with a valid Trademark Clearing</w:t>
            </w:r>
            <w:r>
              <w:rPr>
                <w:color w:val="auto"/>
              </w:rPr>
              <w:t>h</w:t>
            </w:r>
            <w:r w:rsidRPr="006915E8">
              <w:rPr>
                <w:color w:val="auto"/>
              </w:rPr>
              <w:t>ouse</w:t>
            </w:r>
            <w:r>
              <w:rPr>
                <w:color w:val="auto"/>
              </w:rPr>
              <w:t xml:space="preserve"> entry on a f</w:t>
            </w:r>
            <w:r w:rsidR="00692BAD" w:rsidRPr="006915E8">
              <w:rPr>
                <w:color w:val="auto"/>
              </w:rPr>
              <w:t xml:space="preserve">irst-come, first-serve basis. </w:t>
            </w:r>
            <w:r w:rsidR="0038231A" w:rsidRPr="006915E8">
              <w:rPr>
                <w:color w:val="auto"/>
              </w:rPr>
              <w:t xml:space="preserve">See below </w:t>
            </w:r>
            <w:r w:rsidR="009627A7" w:rsidRPr="006915E8">
              <w:rPr>
                <w:color w:val="auto"/>
              </w:rPr>
              <w:t xml:space="preserve">for </w:t>
            </w:r>
            <w:r w:rsidR="00325D72" w:rsidRPr="006915E8">
              <w:rPr>
                <w:color w:val="auto"/>
              </w:rPr>
              <w:t xml:space="preserve">more details. </w:t>
            </w:r>
            <w:r w:rsidR="0038231A" w:rsidRPr="006915E8">
              <w:rPr>
                <w:color w:val="auto"/>
              </w:rPr>
              <w:t xml:space="preserve">Special pricing applies. </w:t>
            </w:r>
          </w:p>
        </w:tc>
      </w:tr>
      <w:tr w:rsidR="0073221F" w:rsidRPr="00627F74" w14:paraId="2CD87E7B" w14:textId="77777777" w:rsidTr="00573B15">
        <w:tc>
          <w:tcPr>
            <w:tcW w:w="1250" w:type="dxa"/>
            <w:tcMar>
              <w:top w:w="100" w:type="dxa"/>
              <w:left w:w="100" w:type="dxa"/>
              <w:bottom w:w="100" w:type="dxa"/>
              <w:right w:w="100" w:type="dxa"/>
            </w:tcMar>
          </w:tcPr>
          <w:p w14:paraId="352A2779" w14:textId="08790FCD" w:rsidR="00FE666B" w:rsidRPr="006915E8" w:rsidRDefault="00FE666B" w:rsidP="00B820CA">
            <w:pPr>
              <w:pStyle w:val="Normal1"/>
              <w:widowControl w:val="0"/>
              <w:spacing w:line="240" w:lineRule="auto"/>
              <w:jc w:val="center"/>
              <w:rPr>
                <w:color w:val="auto"/>
              </w:rPr>
            </w:pPr>
            <w:r w:rsidRPr="006915E8">
              <w:rPr>
                <w:color w:val="auto"/>
              </w:rPr>
              <w:t>Early Access Period</w:t>
            </w:r>
          </w:p>
        </w:tc>
        <w:tc>
          <w:tcPr>
            <w:tcW w:w="2900" w:type="dxa"/>
            <w:tcMar>
              <w:top w:w="100" w:type="dxa"/>
              <w:left w:w="100" w:type="dxa"/>
              <w:bottom w:w="100" w:type="dxa"/>
              <w:right w:w="100" w:type="dxa"/>
            </w:tcMar>
          </w:tcPr>
          <w:p w14:paraId="2D3921B4" w14:textId="5AF45A0A" w:rsidR="00FE666B" w:rsidRPr="006915E8" w:rsidRDefault="005C540E" w:rsidP="00786ED3">
            <w:pPr>
              <w:pStyle w:val="Normal1"/>
              <w:widowControl w:val="0"/>
              <w:spacing w:line="240" w:lineRule="auto"/>
              <w:rPr>
                <w:color w:val="auto"/>
              </w:rPr>
            </w:pPr>
            <w:r w:rsidRPr="006915E8">
              <w:rPr>
                <w:color w:val="auto"/>
              </w:rPr>
              <w:t xml:space="preserve">Begins after the end of the </w:t>
            </w:r>
            <w:r w:rsidR="006915E8" w:rsidRPr="006915E8">
              <w:rPr>
                <w:color w:val="auto"/>
              </w:rPr>
              <w:t>Sunrise Period</w:t>
            </w:r>
            <w:r w:rsidR="0038231A" w:rsidRPr="006915E8">
              <w:rPr>
                <w:color w:val="auto"/>
              </w:rPr>
              <w:t>.</w:t>
            </w:r>
            <w:r w:rsidR="00691595" w:rsidRPr="006915E8">
              <w:rPr>
                <w:color w:val="auto"/>
              </w:rPr>
              <w:t xml:space="preserve">  See Registry Website</w:t>
            </w:r>
            <w:r w:rsidR="00691595">
              <w:rPr>
                <w:color w:val="auto"/>
              </w:rPr>
              <w:t xml:space="preserve"> for details. </w:t>
            </w:r>
          </w:p>
        </w:tc>
        <w:tc>
          <w:tcPr>
            <w:tcW w:w="5210" w:type="dxa"/>
            <w:tcMar>
              <w:top w:w="100" w:type="dxa"/>
              <w:left w:w="100" w:type="dxa"/>
              <w:bottom w:w="100" w:type="dxa"/>
              <w:right w:w="100" w:type="dxa"/>
            </w:tcMar>
          </w:tcPr>
          <w:p w14:paraId="03CEBA94" w14:textId="41A3548A" w:rsidR="00FE666B" w:rsidRPr="006915E8" w:rsidRDefault="00FE666B" w:rsidP="00807514">
            <w:pPr>
              <w:pStyle w:val="Normal1"/>
              <w:widowControl w:val="0"/>
              <w:spacing w:line="240" w:lineRule="auto"/>
              <w:rPr>
                <w:color w:val="auto"/>
              </w:rPr>
            </w:pPr>
            <w:r w:rsidRPr="006915E8">
              <w:rPr>
                <w:color w:val="auto"/>
              </w:rPr>
              <w:t xml:space="preserve">Anyone can register any available name on a first-come, first-serve basis. Prices vary depending on the </w:t>
            </w:r>
            <w:r w:rsidR="00691595">
              <w:rPr>
                <w:color w:val="auto"/>
              </w:rPr>
              <w:t>day</w:t>
            </w:r>
            <w:r w:rsidR="006915E8" w:rsidRPr="006915E8">
              <w:rPr>
                <w:color w:val="auto"/>
              </w:rPr>
              <w:t xml:space="preserve"> of the launch</w:t>
            </w:r>
            <w:r w:rsidRPr="006915E8">
              <w:rPr>
                <w:color w:val="auto"/>
              </w:rPr>
              <w:t xml:space="preserve">, </w:t>
            </w:r>
            <w:r w:rsidR="00244CA8" w:rsidRPr="006915E8">
              <w:rPr>
                <w:color w:val="auto"/>
              </w:rPr>
              <w:t xml:space="preserve">beginning </w:t>
            </w:r>
            <w:r w:rsidRPr="006915E8">
              <w:rPr>
                <w:color w:val="auto"/>
              </w:rPr>
              <w:t>higher and gradually lowering.</w:t>
            </w:r>
            <w:r w:rsidR="00692BAD" w:rsidRPr="006915E8">
              <w:rPr>
                <w:color w:val="auto"/>
              </w:rPr>
              <w:t xml:space="preserve"> See </w:t>
            </w:r>
            <w:r w:rsidR="00691595">
              <w:rPr>
                <w:color w:val="auto"/>
              </w:rPr>
              <w:t xml:space="preserve">the Registry Website and </w:t>
            </w:r>
            <w:r w:rsidR="00692BAD" w:rsidRPr="006915E8">
              <w:rPr>
                <w:color w:val="auto"/>
              </w:rPr>
              <w:t>the section of these Policies on the Ear</w:t>
            </w:r>
            <w:r w:rsidR="0038231A" w:rsidRPr="006915E8">
              <w:rPr>
                <w:color w:val="auto"/>
              </w:rPr>
              <w:t>l</w:t>
            </w:r>
            <w:r w:rsidR="00692BAD" w:rsidRPr="006915E8">
              <w:rPr>
                <w:color w:val="auto"/>
              </w:rPr>
              <w:t>y Access Period for more details.</w:t>
            </w:r>
          </w:p>
        </w:tc>
      </w:tr>
      <w:tr w:rsidR="0073221F" w:rsidRPr="00627F74" w14:paraId="613EBD8F" w14:textId="77777777" w:rsidTr="00573B15">
        <w:tc>
          <w:tcPr>
            <w:tcW w:w="1250" w:type="dxa"/>
            <w:tcMar>
              <w:top w:w="100" w:type="dxa"/>
              <w:left w:w="100" w:type="dxa"/>
              <w:bottom w:w="100" w:type="dxa"/>
              <w:right w:w="100" w:type="dxa"/>
            </w:tcMar>
          </w:tcPr>
          <w:p w14:paraId="600E3D0D" w14:textId="77777777" w:rsidR="00FE666B" w:rsidRPr="006915E8" w:rsidRDefault="00FE666B" w:rsidP="00B820CA">
            <w:pPr>
              <w:pStyle w:val="Normal1"/>
              <w:widowControl w:val="0"/>
              <w:spacing w:line="240" w:lineRule="auto"/>
              <w:jc w:val="center"/>
              <w:rPr>
                <w:color w:val="auto"/>
              </w:rPr>
            </w:pPr>
            <w:r w:rsidRPr="006915E8">
              <w:rPr>
                <w:color w:val="auto"/>
              </w:rPr>
              <w:t>General Availability</w:t>
            </w:r>
          </w:p>
        </w:tc>
        <w:tc>
          <w:tcPr>
            <w:tcW w:w="2900" w:type="dxa"/>
            <w:tcMar>
              <w:top w:w="100" w:type="dxa"/>
              <w:left w:w="100" w:type="dxa"/>
              <w:bottom w:w="100" w:type="dxa"/>
              <w:right w:w="100" w:type="dxa"/>
            </w:tcMar>
          </w:tcPr>
          <w:p w14:paraId="1D48F3C4" w14:textId="005F8F15" w:rsidR="00FE666B" w:rsidRPr="006915E8" w:rsidRDefault="00FE666B" w:rsidP="00AC5623">
            <w:pPr>
              <w:pStyle w:val="Normal1"/>
              <w:widowControl w:val="0"/>
              <w:spacing w:line="240" w:lineRule="auto"/>
              <w:rPr>
                <w:color w:val="auto"/>
              </w:rPr>
            </w:pPr>
            <w:r w:rsidRPr="006915E8">
              <w:rPr>
                <w:color w:val="auto"/>
              </w:rPr>
              <w:t xml:space="preserve">Begins </w:t>
            </w:r>
            <w:r w:rsidR="00AC5623" w:rsidRPr="006915E8">
              <w:rPr>
                <w:color w:val="auto"/>
              </w:rPr>
              <w:t xml:space="preserve">after </w:t>
            </w:r>
            <w:r w:rsidRPr="006915E8">
              <w:rPr>
                <w:color w:val="auto"/>
              </w:rPr>
              <w:t xml:space="preserve">the end of the Early Access Period and continues </w:t>
            </w:r>
            <w:r w:rsidR="00DB5BB0" w:rsidRPr="006915E8">
              <w:rPr>
                <w:color w:val="auto"/>
              </w:rPr>
              <w:t>perpetually</w:t>
            </w:r>
            <w:r w:rsidRPr="006915E8">
              <w:rPr>
                <w:color w:val="auto"/>
              </w:rPr>
              <w:t xml:space="preserve">. </w:t>
            </w:r>
            <w:r w:rsidR="00691595" w:rsidRPr="006915E8">
              <w:rPr>
                <w:color w:val="auto"/>
              </w:rPr>
              <w:t>See Registry Website</w:t>
            </w:r>
            <w:r w:rsidR="00691595">
              <w:rPr>
                <w:color w:val="auto"/>
              </w:rPr>
              <w:t xml:space="preserve"> for more details. </w:t>
            </w:r>
          </w:p>
        </w:tc>
        <w:tc>
          <w:tcPr>
            <w:tcW w:w="5210" w:type="dxa"/>
            <w:tcMar>
              <w:top w:w="100" w:type="dxa"/>
              <w:left w:w="100" w:type="dxa"/>
              <w:bottom w:w="100" w:type="dxa"/>
              <w:right w:w="100" w:type="dxa"/>
            </w:tcMar>
          </w:tcPr>
          <w:p w14:paraId="12BC6A17" w14:textId="370D0AEE" w:rsidR="00FE666B" w:rsidRPr="006915E8" w:rsidRDefault="00FE666B" w:rsidP="00FE666B">
            <w:pPr>
              <w:pStyle w:val="Normal1"/>
              <w:widowControl w:val="0"/>
              <w:spacing w:line="240" w:lineRule="auto"/>
              <w:rPr>
                <w:color w:val="auto"/>
              </w:rPr>
            </w:pPr>
            <w:r w:rsidRPr="006915E8">
              <w:rPr>
                <w:color w:val="auto"/>
              </w:rPr>
              <w:t>Anyone can register any available name on a first-come, first-serve basis.</w:t>
            </w:r>
            <w:r w:rsidR="0038231A" w:rsidRPr="006915E8">
              <w:rPr>
                <w:color w:val="auto"/>
              </w:rPr>
              <w:t xml:space="preserve"> Regular pricing applies. </w:t>
            </w:r>
          </w:p>
        </w:tc>
      </w:tr>
    </w:tbl>
    <w:p w14:paraId="2CC0786E" w14:textId="77777777" w:rsidR="00DB5BB0" w:rsidRPr="00627F74" w:rsidRDefault="00DB5BB0">
      <w:pPr>
        <w:pStyle w:val="Normal1"/>
        <w:widowControl w:val="0"/>
        <w:rPr>
          <w:color w:val="auto"/>
        </w:rPr>
      </w:pPr>
    </w:p>
    <w:p w14:paraId="3F1C5D78" w14:textId="06075BB1" w:rsidR="002F0E14" w:rsidRPr="00AC26E0" w:rsidRDefault="007C3EBA" w:rsidP="002F0E14">
      <w:pPr>
        <w:pStyle w:val="Normal1"/>
        <w:widowControl w:val="0"/>
        <w:rPr>
          <w:i/>
          <w:color w:val="auto"/>
        </w:rPr>
      </w:pPr>
      <w:r w:rsidRPr="00627F74">
        <w:rPr>
          <w:i/>
          <w:color w:val="auto"/>
        </w:rPr>
        <w:t>*</w:t>
      </w:r>
      <w:r w:rsidR="00DB5BB0" w:rsidRPr="00627F74">
        <w:rPr>
          <w:i/>
          <w:color w:val="auto"/>
        </w:rPr>
        <w:t xml:space="preserve">Timeframes are </w:t>
      </w:r>
      <w:r w:rsidRPr="00627F74">
        <w:rPr>
          <w:i/>
          <w:color w:val="auto"/>
        </w:rPr>
        <w:t>subject to modification</w:t>
      </w:r>
      <w:r w:rsidR="00DB5BB0" w:rsidRPr="00627F74">
        <w:rPr>
          <w:i/>
          <w:color w:val="auto"/>
        </w:rPr>
        <w:t xml:space="preserve">. </w:t>
      </w:r>
      <w:r w:rsidR="002F436E" w:rsidRPr="00627F74">
        <w:rPr>
          <w:i/>
          <w:color w:val="auto"/>
        </w:rPr>
        <w:t xml:space="preserve">See the Registry Website for more details. </w:t>
      </w:r>
      <w:bookmarkStart w:id="9" w:name="h.ood8qomiuilq" w:colFirst="0" w:colLast="0"/>
      <w:bookmarkStart w:id="10" w:name="h.hxqzbsr65s9w" w:colFirst="0" w:colLast="0"/>
      <w:bookmarkEnd w:id="9"/>
      <w:bookmarkEnd w:id="10"/>
    </w:p>
    <w:p w14:paraId="430CCC1C" w14:textId="5979D01A" w:rsidR="00AC26E0" w:rsidRPr="0073221F" w:rsidRDefault="00AC26E0" w:rsidP="00AC26E0">
      <w:pPr>
        <w:pStyle w:val="Heading1"/>
        <w:contextualSpacing w:val="0"/>
        <w:rPr>
          <w:color w:val="auto"/>
        </w:rPr>
      </w:pPr>
      <w:bookmarkStart w:id="11" w:name="_Toc536000357"/>
      <w:r>
        <w:rPr>
          <w:color w:val="auto"/>
        </w:rPr>
        <w:t>3</w:t>
      </w:r>
      <w:r w:rsidRPr="0073221F">
        <w:rPr>
          <w:color w:val="auto"/>
        </w:rPr>
        <w:t xml:space="preserve">. </w:t>
      </w:r>
      <w:r w:rsidRPr="0073221F">
        <w:rPr>
          <w:color w:val="auto"/>
        </w:rPr>
        <w:tab/>
        <w:t>Sunrise rules</w:t>
      </w:r>
      <w:bookmarkEnd w:id="11"/>
    </w:p>
    <w:p w14:paraId="5CFF16DA" w14:textId="4E2E18FF" w:rsidR="00AC26E0" w:rsidRPr="0073221F" w:rsidRDefault="00AC26E0" w:rsidP="00AC26E0">
      <w:pPr>
        <w:pStyle w:val="Heading2"/>
        <w:contextualSpacing w:val="0"/>
        <w:rPr>
          <w:color w:val="auto"/>
        </w:rPr>
      </w:pPr>
      <w:bookmarkStart w:id="12" w:name="h.8i05hn7oetou" w:colFirst="0" w:colLast="0"/>
      <w:bookmarkStart w:id="13" w:name="_Toc536000358"/>
      <w:bookmarkEnd w:id="12"/>
      <w:r>
        <w:rPr>
          <w:color w:val="auto"/>
        </w:rPr>
        <w:t>3.1</w:t>
      </w:r>
      <w:r>
        <w:rPr>
          <w:color w:val="auto"/>
        </w:rPr>
        <w:tab/>
      </w:r>
      <w:r w:rsidRPr="0073221F">
        <w:rPr>
          <w:color w:val="auto"/>
        </w:rPr>
        <w:t>Scope and Applicability</w:t>
      </w:r>
      <w:bookmarkEnd w:id="13"/>
    </w:p>
    <w:p w14:paraId="411C8A61" w14:textId="77777777" w:rsidR="00AC26E0" w:rsidRPr="0073221F" w:rsidRDefault="00AC26E0" w:rsidP="00AC26E0">
      <w:pPr>
        <w:pStyle w:val="Normal1"/>
        <w:widowControl w:val="0"/>
        <w:rPr>
          <w:color w:val="auto"/>
        </w:rPr>
      </w:pPr>
      <w:r w:rsidRPr="0073221F">
        <w:rPr>
          <w:color w:val="auto"/>
        </w:rPr>
        <w:t>Sunrise applications may be submitted for Available Names, meaning names that have not been reserved or restricted, prior to commencement of the respective launch phase.</w:t>
      </w:r>
    </w:p>
    <w:p w14:paraId="7EF57544" w14:textId="663C1C3A" w:rsidR="00AC26E0" w:rsidRPr="0073221F" w:rsidRDefault="00AC26E0" w:rsidP="00AC26E0">
      <w:pPr>
        <w:pStyle w:val="Heading2"/>
        <w:contextualSpacing w:val="0"/>
        <w:rPr>
          <w:color w:val="auto"/>
        </w:rPr>
      </w:pPr>
      <w:bookmarkStart w:id="14" w:name="h.fs19fkmswlwb" w:colFirst="0" w:colLast="0"/>
      <w:bookmarkStart w:id="15" w:name="_Toc536000359"/>
      <w:bookmarkEnd w:id="14"/>
      <w:r>
        <w:rPr>
          <w:color w:val="auto"/>
        </w:rPr>
        <w:t>3</w:t>
      </w:r>
      <w:r w:rsidRPr="0073221F">
        <w:rPr>
          <w:color w:val="auto"/>
        </w:rPr>
        <w:t>.2</w:t>
      </w:r>
      <w:r w:rsidRPr="0073221F">
        <w:rPr>
          <w:color w:val="auto"/>
        </w:rPr>
        <w:tab/>
        <w:t>Eligible Applicants</w:t>
      </w:r>
      <w:bookmarkEnd w:id="15"/>
    </w:p>
    <w:p w14:paraId="29A09D3A" w14:textId="77777777" w:rsidR="00AC26E0" w:rsidRPr="0073221F" w:rsidRDefault="00AC26E0" w:rsidP="00AC26E0">
      <w:pPr>
        <w:pStyle w:val="Normal1"/>
        <w:widowControl w:val="0"/>
        <w:rPr>
          <w:color w:val="auto"/>
        </w:rPr>
      </w:pPr>
      <w:r w:rsidRPr="0073221F">
        <w:rPr>
          <w:color w:val="auto"/>
        </w:rPr>
        <w:t>To be eligible to submit a Registration Request under Sunrise, a Sunrise Applicant must be the registrant of a corresponding TMCH entry, and the domain name sought must correspond to the entire eligible text of the TMCH entry in accordance with the applicable TMCH requirements.</w:t>
      </w:r>
    </w:p>
    <w:p w14:paraId="11BC86BA" w14:textId="31EEF131" w:rsidR="00AC26E0" w:rsidRPr="0073221F" w:rsidRDefault="00AC26E0" w:rsidP="00AC26E0">
      <w:pPr>
        <w:pStyle w:val="Heading2"/>
        <w:contextualSpacing w:val="0"/>
        <w:rPr>
          <w:color w:val="auto"/>
        </w:rPr>
      </w:pPr>
      <w:bookmarkStart w:id="16" w:name="h.3tlnzzmh563o" w:colFirst="0" w:colLast="0"/>
      <w:bookmarkStart w:id="17" w:name="_Toc536000360"/>
      <w:bookmarkEnd w:id="16"/>
      <w:r>
        <w:rPr>
          <w:color w:val="auto"/>
        </w:rPr>
        <w:t>3</w:t>
      </w:r>
      <w:r w:rsidRPr="0073221F">
        <w:rPr>
          <w:color w:val="auto"/>
        </w:rPr>
        <w:t>.3</w:t>
      </w:r>
      <w:r w:rsidRPr="0073221F">
        <w:rPr>
          <w:color w:val="auto"/>
        </w:rPr>
        <w:tab/>
        <w:t>Application Process</w:t>
      </w:r>
      <w:bookmarkEnd w:id="17"/>
    </w:p>
    <w:p w14:paraId="08893A15" w14:textId="77777777" w:rsidR="00AC26E0" w:rsidRPr="0073221F" w:rsidRDefault="00AC26E0" w:rsidP="00AC26E0">
      <w:pPr>
        <w:pStyle w:val="Normal1"/>
        <w:rPr>
          <w:color w:val="auto"/>
        </w:rPr>
      </w:pPr>
      <w:r w:rsidRPr="0073221F">
        <w:rPr>
          <w:color w:val="auto"/>
        </w:rPr>
        <w:t xml:space="preserve">The following process applies to Sunrise Applications: SMD Files submitted with Sunrise Applications are validated by Registry Operator; Sunrise Applications missing a valid SMD File or containing an invalid SMD File will be rejected by the Registry Operator. If SMD files are validated by Registry Operator, the applicant will receive the names on a first-come, first-serve basis. </w:t>
      </w:r>
    </w:p>
    <w:p w14:paraId="1385E710" w14:textId="5B4C76A1" w:rsidR="00AC26E0" w:rsidRPr="0073221F" w:rsidRDefault="00AC26E0" w:rsidP="00AC26E0">
      <w:pPr>
        <w:pStyle w:val="Heading2"/>
        <w:contextualSpacing w:val="0"/>
        <w:rPr>
          <w:color w:val="auto"/>
        </w:rPr>
      </w:pPr>
      <w:bookmarkStart w:id="18" w:name="h.hip8g6gsqge8" w:colFirst="0" w:colLast="0"/>
      <w:bookmarkStart w:id="19" w:name="h.95fx03wp0t0a" w:colFirst="0" w:colLast="0"/>
      <w:bookmarkStart w:id="20" w:name="_Toc536000361"/>
      <w:bookmarkEnd w:id="18"/>
      <w:bookmarkEnd w:id="19"/>
      <w:r>
        <w:rPr>
          <w:color w:val="auto"/>
        </w:rPr>
        <w:lastRenderedPageBreak/>
        <w:t>3</w:t>
      </w:r>
      <w:r w:rsidRPr="0073221F">
        <w:rPr>
          <w:color w:val="auto"/>
        </w:rPr>
        <w:t>.4 SMD File Requirements</w:t>
      </w:r>
      <w:bookmarkEnd w:id="20"/>
    </w:p>
    <w:p w14:paraId="12FE0378" w14:textId="77777777" w:rsidR="00AC26E0" w:rsidRPr="0073221F" w:rsidRDefault="00AC26E0" w:rsidP="00AC26E0">
      <w:pPr>
        <w:pStyle w:val="Normal1"/>
        <w:rPr>
          <w:color w:val="auto"/>
        </w:rPr>
      </w:pPr>
      <w:r w:rsidRPr="0073221F">
        <w:rPr>
          <w:color w:val="auto"/>
        </w:rPr>
        <w:t>The Applicant must first provide information required by the TMCH to obtain the SMD File as detailed in Sections 2 and 3 of the TMCH Guidelines. The TMCH then will issue an SMD File to verified applicants. The Sunrise Applicant must submit a valid SMD File along with its Sunrise Application. The Registry Operator will perform verification of the SMD File and confirm that the applied for Label is contained in the SMD File. Where verification of the SMD File fails or the applied for Label is not contained in the SMD File, that Application will be rejected.</w:t>
      </w:r>
    </w:p>
    <w:p w14:paraId="35D7BDFA" w14:textId="7AF8E310" w:rsidR="00AC26E0" w:rsidRPr="0073221F" w:rsidRDefault="00AC26E0" w:rsidP="00AC26E0">
      <w:pPr>
        <w:pStyle w:val="Heading2"/>
        <w:contextualSpacing w:val="0"/>
        <w:rPr>
          <w:color w:val="auto"/>
        </w:rPr>
      </w:pPr>
      <w:bookmarkStart w:id="21" w:name="h.xxmmo8fjpa3c" w:colFirst="0" w:colLast="0"/>
      <w:bookmarkStart w:id="22" w:name="_Toc536000362"/>
      <w:bookmarkEnd w:id="21"/>
      <w:r>
        <w:rPr>
          <w:color w:val="auto"/>
        </w:rPr>
        <w:t>3.5</w:t>
      </w:r>
      <w:r w:rsidRPr="0073221F">
        <w:rPr>
          <w:color w:val="auto"/>
        </w:rPr>
        <w:t xml:space="preserve"> Allocation of Registration Requests</w:t>
      </w:r>
      <w:bookmarkEnd w:id="22"/>
    </w:p>
    <w:p w14:paraId="30A0002E" w14:textId="77777777" w:rsidR="00AC26E0" w:rsidRPr="0073221F" w:rsidRDefault="00AC26E0" w:rsidP="00AC26E0">
      <w:pPr>
        <w:pStyle w:val="Normal1"/>
        <w:widowControl w:val="0"/>
        <w:rPr>
          <w:color w:val="auto"/>
        </w:rPr>
      </w:pPr>
      <w:r w:rsidRPr="0073221F">
        <w:rPr>
          <w:color w:val="auto"/>
        </w:rPr>
        <w:t>If a Sunrise Applicant meets the eligibility criteria described herein and in accordance with Registry Policies, that Applicant will receive the na</w:t>
      </w:r>
      <w:r w:rsidRPr="006915E8">
        <w:rPr>
          <w:color w:val="auto"/>
        </w:rPr>
        <w:t>me on a first-come, first-serve basis.</w:t>
      </w:r>
      <w:r w:rsidRPr="0073221F">
        <w:rPr>
          <w:color w:val="auto"/>
        </w:rPr>
        <w:t xml:space="preserve"> </w:t>
      </w:r>
    </w:p>
    <w:p w14:paraId="0533AED2" w14:textId="6229BB71" w:rsidR="00AC26E0" w:rsidRPr="0073221F" w:rsidRDefault="00AC26E0" w:rsidP="00AC26E0">
      <w:pPr>
        <w:pStyle w:val="Heading2"/>
        <w:contextualSpacing w:val="0"/>
        <w:rPr>
          <w:color w:val="auto"/>
        </w:rPr>
      </w:pPr>
      <w:bookmarkStart w:id="23" w:name="h.w2cxodhgr6pc" w:colFirst="0" w:colLast="0"/>
      <w:bookmarkStart w:id="24" w:name="_Toc536000363"/>
      <w:bookmarkEnd w:id="23"/>
      <w:r>
        <w:rPr>
          <w:color w:val="auto"/>
        </w:rPr>
        <w:t>3.6</w:t>
      </w:r>
      <w:r w:rsidRPr="0073221F">
        <w:rPr>
          <w:color w:val="auto"/>
        </w:rPr>
        <w:t xml:space="preserve"> Available Sunrise Registration Periods</w:t>
      </w:r>
      <w:bookmarkEnd w:id="24"/>
    </w:p>
    <w:p w14:paraId="2AC6540E" w14:textId="77777777" w:rsidR="00AC26E0" w:rsidRPr="0073221F" w:rsidRDefault="00AC26E0" w:rsidP="00AC26E0">
      <w:pPr>
        <w:pStyle w:val="Normal1"/>
        <w:widowControl w:val="0"/>
        <w:rPr>
          <w:color w:val="auto"/>
        </w:rPr>
      </w:pPr>
      <w:r w:rsidRPr="0073221F">
        <w:rPr>
          <w:color w:val="auto"/>
        </w:rPr>
        <w:t>Sunrise Registrations may be purchased in yearly increments of no less than one (1) year and no more than ten (10) years, commencing on the date on which the Domain Name is registered. Unless otherwise terminated, such registration will expire on the same day of the month the registration was created, unless it was created on February 29, in which case it will expire on March 1.</w:t>
      </w:r>
    </w:p>
    <w:p w14:paraId="1593658B" w14:textId="48948B37" w:rsidR="00AC26E0" w:rsidRPr="0073221F" w:rsidRDefault="00AC26E0" w:rsidP="00AC26E0">
      <w:pPr>
        <w:pStyle w:val="Heading2"/>
        <w:contextualSpacing w:val="0"/>
        <w:rPr>
          <w:color w:val="auto"/>
        </w:rPr>
      </w:pPr>
      <w:bookmarkStart w:id="25" w:name="h.o0u1hzudbzqn" w:colFirst="0" w:colLast="0"/>
      <w:bookmarkStart w:id="26" w:name="_Toc536000364"/>
      <w:bookmarkEnd w:id="25"/>
      <w:r>
        <w:rPr>
          <w:color w:val="auto"/>
        </w:rPr>
        <w:t>3.7</w:t>
      </w:r>
      <w:r w:rsidRPr="0073221F">
        <w:rPr>
          <w:color w:val="auto"/>
        </w:rPr>
        <w:t xml:space="preserve"> Certification / Liability</w:t>
      </w:r>
      <w:bookmarkEnd w:id="26"/>
      <w:r w:rsidRPr="0073221F">
        <w:rPr>
          <w:color w:val="auto"/>
        </w:rPr>
        <w:t xml:space="preserve"> </w:t>
      </w:r>
    </w:p>
    <w:p w14:paraId="52AB51C6" w14:textId="04186778" w:rsidR="00AC26E0" w:rsidRPr="0073221F" w:rsidRDefault="00AC26E0" w:rsidP="00AC26E0">
      <w:pPr>
        <w:pStyle w:val="Normal1"/>
        <w:widowControl w:val="0"/>
        <w:rPr>
          <w:color w:val="auto"/>
        </w:rPr>
      </w:pPr>
      <w:r w:rsidRPr="0073221F">
        <w:rPr>
          <w:color w:val="auto"/>
        </w:rPr>
        <w:t xml:space="preserve">All Registration Requests must be conditioned on the Applicant’s certification, representation, and warranty that the request is compliant with the relevant Sunrise requirements. By submitting a Registration Request, Applicants acknowledge, agree, and accept sole and direct liability for damages suffered by any third party injured as a consequence of a Registration Request and/or the Registration of a name in the </w:t>
      </w:r>
      <w:r>
        <w:rPr>
          <w:color w:val="auto"/>
        </w:rPr>
        <w:t>TLD</w:t>
      </w:r>
      <w:r w:rsidR="00B447FC">
        <w:rPr>
          <w:color w:val="auto"/>
        </w:rPr>
        <w:t>s</w:t>
      </w:r>
      <w:r w:rsidRPr="0073221F">
        <w:rPr>
          <w:color w:val="auto"/>
        </w:rPr>
        <w:t xml:space="preserve"> under this policy, and agree to indemnify and hold the Registry and its executives, officers, affiliates, agents, service providers and contractors harmless for any claims, causes of action, damages, or injuries resulting from actions, omissions, or errors. Applicants may be required by the Registry, in its reasonable discretion, to provide reasonable and sufficient surety of indemnification, and shall be liable for any costs or fees incurred by the Registry as a consequence of </w:t>
      </w:r>
      <w:r w:rsidR="006915E8" w:rsidRPr="0073221F">
        <w:rPr>
          <w:color w:val="auto"/>
        </w:rPr>
        <w:t>third-party</w:t>
      </w:r>
      <w:r w:rsidRPr="0073221F">
        <w:rPr>
          <w:color w:val="auto"/>
        </w:rPr>
        <w:t xml:space="preserve"> claims arising from the Applicant’s Registration Request for and/or the Registration of a name in the </w:t>
      </w:r>
      <w:r>
        <w:rPr>
          <w:color w:val="auto"/>
        </w:rPr>
        <w:t>TLD</w:t>
      </w:r>
      <w:r w:rsidR="00B447FC">
        <w:rPr>
          <w:color w:val="auto"/>
        </w:rPr>
        <w:t>s</w:t>
      </w:r>
      <w:r w:rsidRPr="0073221F">
        <w:rPr>
          <w:color w:val="auto"/>
        </w:rPr>
        <w:t xml:space="preserve"> under this policy. Such liability shall extend without limitation to any injury claimed as a consequence of false statements made in the request and relied upon by the Registry in Registration of a name.</w:t>
      </w:r>
    </w:p>
    <w:p w14:paraId="116CEF53" w14:textId="77777777" w:rsidR="00AC26E0" w:rsidRPr="0073221F" w:rsidRDefault="00AC26E0" w:rsidP="00AC26E0">
      <w:pPr>
        <w:pStyle w:val="Normal1"/>
        <w:widowControl w:val="0"/>
        <w:rPr>
          <w:color w:val="auto"/>
        </w:rPr>
      </w:pPr>
      <w:bookmarkStart w:id="27" w:name="h.xqv9t51pm45x" w:colFirst="0" w:colLast="0"/>
      <w:bookmarkStart w:id="28" w:name="h.3r9d43t7kx5p" w:colFirst="0" w:colLast="0"/>
      <w:bookmarkStart w:id="29" w:name="h.igcyywfz4u8l" w:colFirst="0" w:colLast="0"/>
      <w:bookmarkEnd w:id="27"/>
      <w:bookmarkEnd w:id="28"/>
      <w:bookmarkEnd w:id="29"/>
    </w:p>
    <w:p w14:paraId="1B260731" w14:textId="6E43962F" w:rsidR="00AC26E0" w:rsidRPr="0073221F" w:rsidRDefault="00AC26E0" w:rsidP="00AC26E0">
      <w:pPr>
        <w:pStyle w:val="Normal1"/>
        <w:widowControl w:val="0"/>
        <w:rPr>
          <w:color w:val="auto"/>
        </w:rPr>
      </w:pPr>
      <w:r>
        <w:rPr>
          <w:rFonts w:ascii="Trebuchet MS" w:eastAsia="Trebuchet MS" w:hAnsi="Trebuchet MS" w:cs="Trebuchet MS"/>
          <w:b/>
          <w:color w:val="auto"/>
          <w:sz w:val="26"/>
        </w:rPr>
        <w:t>3.8</w:t>
      </w:r>
      <w:r w:rsidRPr="0073221F">
        <w:rPr>
          <w:rFonts w:ascii="Trebuchet MS" w:eastAsia="Trebuchet MS" w:hAnsi="Trebuchet MS" w:cs="Trebuchet MS"/>
          <w:b/>
          <w:color w:val="auto"/>
          <w:sz w:val="26"/>
        </w:rPr>
        <w:tab/>
        <w:t>Sunrise Disputes</w:t>
      </w:r>
    </w:p>
    <w:p w14:paraId="71D2ACAB" w14:textId="0AC28A69" w:rsidR="002F0E14" w:rsidRPr="00AC26E0" w:rsidRDefault="00AC26E0" w:rsidP="002F0E14">
      <w:pPr>
        <w:pStyle w:val="Normal1"/>
        <w:widowControl w:val="0"/>
        <w:rPr>
          <w:color w:val="auto"/>
        </w:rPr>
      </w:pPr>
      <w:r>
        <w:rPr>
          <w:color w:val="auto"/>
        </w:rPr>
        <w:t>For information on Sunrise D</w:t>
      </w:r>
      <w:r w:rsidRPr="0073221F">
        <w:rPr>
          <w:color w:val="auto"/>
        </w:rPr>
        <w:t xml:space="preserve">isputes, see our Sunrise Dispute Resolution Policy </w:t>
      </w:r>
      <w:r w:rsidR="006915E8">
        <w:rPr>
          <w:color w:val="auto"/>
        </w:rPr>
        <w:t>on the Registry Website.</w:t>
      </w:r>
      <w:bookmarkStart w:id="30" w:name="h.8j8p9ecl4g9" w:colFirst="0" w:colLast="0"/>
      <w:bookmarkEnd w:id="30"/>
      <w:r w:rsidR="006915E8">
        <w:rPr>
          <w:color w:val="auto"/>
        </w:rPr>
        <w:t xml:space="preserve"> </w:t>
      </w:r>
    </w:p>
    <w:p w14:paraId="01177E02" w14:textId="34E1436D" w:rsidR="00E04EAC" w:rsidRPr="00627F74" w:rsidRDefault="00AC26E0">
      <w:pPr>
        <w:pStyle w:val="Heading1"/>
        <w:contextualSpacing w:val="0"/>
        <w:rPr>
          <w:rFonts w:ascii="Arial" w:hAnsi="Arial" w:cs="Arial"/>
          <w:color w:val="auto"/>
        </w:rPr>
      </w:pPr>
      <w:bookmarkStart w:id="31" w:name="_Toc536000365"/>
      <w:r>
        <w:rPr>
          <w:rFonts w:ascii="Arial" w:hAnsi="Arial" w:cs="Arial"/>
          <w:color w:val="auto"/>
        </w:rPr>
        <w:t>4</w:t>
      </w:r>
      <w:r w:rsidR="00B130D7" w:rsidRPr="00627F74">
        <w:rPr>
          <w:rFonts w:ascii="Arial" w:hAnsi="Arial" w:cs="Arial"/>
          <w:color w:val="auto"/>
        </w:rPr>
        <w:t>.</w:t>
      </w:r>
      <w:r w:rsidR="00325D72" w:rsidRPr="00627F74">
        <w:rPr>
          <w:rFonts w:ascii="Arial" w:hAnsi="Arial" w:cs="Arial"/>
          <w:color w:val="auto"/>
        </w:rPr>
        <w:tab/>
      </w:r>
      <w:r w:rsidR="000E5DA1" w:rsidRPr="00627F74">
        <w:rPr>
          <w:rFonts w:ascii="Arial" w:hAnsi="Arial" w:cs="Arial"/>
          <w:color w:val="auto"/>
        </w:rPr>
        <w:t xml:space="preserve">Early Access </w:t>
      </w:r>
      <w:r w:rsidR="004B1CEE" w:rsidRPr="00627F74">
        <w:rPr>
          <w:rFonts w:ascii="Arial" w:hAnsi="Arial" w:cs="Arial"/>
          <w:color w:val="auto"/>
        </w:rPr>
        <w:t>Period</w:t>
      </w:r>
      <w:bookmarkEnd w:id="31"/>
    </w:p>
    <w:p w14:paraId="07032B86" w14:textId="17CD21F8" w:rsidR="00905B7A" w:rsidRPr="00627F74" w:rsidRDefault="00AC26E0" w:rsidP="004B1CEE">
      <w:pPr>
        <w:pStyle w:val="Heading2"/>
        <w:spacing w:line="240" w:lineRule="auto"/>
        <w:contextualSpacing w:val="0"/>
        <w:rPr>
          <w:rFonts w:ascii="Arial" w:hAnsi="Arial" w:cs="Arial"/>
          <w:color w:val="auto"/>
          <w:szCs w:val="26"/>
        </w:rPr>
      </w:pPr>
      <w:bookmarkStart w:id="32" w:name="h.mlrjrg5yjcqn" w:colFirst="0" w:colLast="0"/>
      <w:bookmarkStart w:id="33" w:name="_Toc536000366"/>
      <w:bookmarkEnd w:id="32"/>
      <w:r>
        <w:rPr>
          <w:rFonts w:ascii="Arial" w:hAnsi="Arial" w:cs="Arial"/>
          <w:color w:val="auto"/>
          <w:szCs w:val="26"/>
        </w:rPr>
        <w:t>4</w:t>
      </w:r>
      <w:r w:rsidR="004B1CEE" w:rsidRPr="00627F74">
        <w:rPr>
          <w:rFonts w:ascii="Arial" w:hAnsi="Arial" w:cs="Arial"/>
          <w:color w:val="auto"/>
          <w:szCs w:val="26"/>
        </w:rPr>
        <w:t>.1</w:t>
      </w:r>
      <w:r w:rsidR="004B1CEE" w:rsidRPr="00627F74">
        <w:rPr>
          <w:rFonts w:ascii="Arial" w:hAnsi="Arial" w:cs="Arial"/>
          <w:color w:val="auto"/>
          <w:szCs w:val="26"/>
        </w:rPr>
        <w:tab/>
      </w:r>
      <w:r w:rsidR="000E5DA1" w:rsidRPr="00627F74">
        <w:rPr>
          <w:rFonts w:ascii="Arial" w:hAnsi="Arial" w:cs="Arial"/>
          <w:color w:val="auto"/>
          <w:szCs w:val="26"/>
        </w:rPr>
        <w:t>In General</w:t>
      </w:r>
      <w:bookmarkEnd w:id="33"/>
    </w:p>
    <w:p w14:paraId="188C7B17" w14:textId="481BCDDD" w:rsidR="00E04EAC" w:rsidRPr="00627F74" w:rsidRDefault="00905B7A" w:rsidP="0004640D">
      <w:pPr>
        <w:pStyle w:val="Normal1"/>
        <w:rPr>
          <w:color w:val="auto"/>
        </w:rPr>
      </w:pPr>
      <w:r w:rsidRPr="00627F74">
        <w:rPr>
          <w:color w:val="auto"/>
        </w:rPr>
        <w:t xml:space="preserve">The Early Access </w:t>
      </w:r>
      <w:r w:rsidR="007C0E5D" w:rsidRPr="00627F74">
        <w:rPr>
          <w:color w:val="auto"/>
        </w:rPr>
        <w:t xml:space="preserve">Period </w:t>
      </w:r>
      <w:r w:rsidRPr="00627F74">
        <w:rPr>
          <w:color w:val="auto"/>
        </w:rPr>
        <w:t xml:space="preserve">is </w:t>
      </w:r>
      <w:r w:rsidR="006915E8">
        <w:rPr>
          <w:color w:val="auto"/>
        </w:rPr>
        <w:t xml:space="preserve">the </w:t>
      </w:r>
      <w:r w:rsidRPr="00627F74">
        <w:rPr>
          <w:color w:val="auto"/>
        </w:rPr>
        <w:t xml:space="preserve">period between the </w:t>
      </w:r>
      <w:r w:rsidR="006915E8">
        <w:rPr>
          <w:color w:val="auto"/>
        </w:rPr>
        <w:t>Sunrise</w:t>
      </w:r>
      <w:r w:rsidR="00B447FC">
        <w:rPr>
          <w:color w:val="auto"/>
        </w:rPr>
        <w:t xml:space="preserve"> P</w:t>
      </w:r>
      <w:r w:rsidR="006915E8">
        <w:rPr>
          <w:color w:val="auto"/>
        </w:rPr>
        <w:t xml:space="preserve">eriod </w:t>
      </w:r>
      <w:r w:rsidRPr="00627F74">
        <w:rPr>
          <w:color w:val="auto"/>
        </w:rPr>
        <w:t xml:space="preserve">and the general availability of </w:t>
      </w:r>
      <w:r w:rsidR="00B63893" w:rsidRPr="00627F74">
        <w:rPr>
          <w:color w:val="auto"/>
        </w:rPr>
        <w:t xml:space="preserve">the </w:t>
      </w:r>
      <w:r w:rsidR="0038231A" w:rsidRPr="00627F74">
        <w:rPr>
          <w:color w:val="auto"/>
        </w:rPr>
        <w:t>TLD</w:t>
      </w:r>
      <w:r w:rsidR="00D94741">
        <w:rPr>
          <w:color w:val="auto"/>
        </w:rPr>
        <w:t>s</w:t>
      </w:r>
      <w:r w:rsidR="0038231A" w:rsidRPr="00627F74">
        <w:rPr>
          <w:color w:val="auto"/>
        </w:rPr>
        <w:t xml:space="preserve">. </w:t>
      </w:r>
      <w:r w:rsidR="00AC26E0">
        <w:rPr>
          <w:color w:val="auto"/>
        </w:rPr>
        <w:t xml:space="preserve">See the Registry Website for the duration and timeline of the Early Access Period. </w:t>
      </w:r>
      <w:r w:rsidR="0038231A" w:rsidRPr="00627F74">
        <w:rPr>
          <w:color w:val="auto"/>
        </w:rPr>
        <w:t xml:space="preserve">During this period, </w:t>
      </w:r>
      <w:r w:rsidRPr="00627F74">
        <w:rPr>
          <w:color w:val="auto"/>
        </w:rPr>
        <w:t xml:space="preserve">anyone can register any available domain name at the registration price for </w:t>
      </w:r>
      <w:r w:rsidR="006915E8">
        <w:rPr>
          <w:color w:val="auto"/>
        </w:rPr>
        <w:lastRenderedPageBreak/>
        <w:t>the stage of the Early Access Period occurring at that time</w:t>
      </w:r>
      <w:r w:rsidR="0038231A" w:rsidRPr="00627F74">
        <w:rPr>
          <w:color w:val="auto"/>
        </w:rPr>
        <w:t xml:space="preserve">. </w:t>
      </w:r>
      <w:r w:rsidR="006915E8">
        <w:rPr>
          <w:color w:val="auto"/>
        </w:rPr>
        <w:t xml:space="preserve">There will be seven stages – stage one through stage seven. </w:t>
      </w:r>
      <w:r w:rsidR="0038231A" w:rsidRPr="00627F74">
        <w:rPr>
          <w:color w:val="auto"/>
        </w:rPr>
        <w:t>As the seven-</w:t>
      </w:r>
      <w:r w:rsidR="006915E8">
        <w:rPr>
          <w:color w:val="auto"/>
        </w:rPr>
        <w:t>stage</w:t>
      </w:r>
      <w:r w:rsidRPr="00627F74">
        <w:rPr>
          <w:color w:val="auto"/>
        </w:rPr>
        <w:t xml:space="preserve"> period </w:t>
      </w:r>
      <w:r w:rsidR="006E2540" w:rsidRPr="00627F74">
        <w:rPr>
          <w:color w:val="auto"/>
        </w:rPr>
        <w:t>progresses</w:t>
      </w:r>
      <w:r w:rsidRPr="00627F74">
        <w:rPr>
          <w:color w:val="auto"/>
        </w:rPr>
        <w:t xml:space="preserve">, the prices for </w:t>
      </w:r>
      <w:r w:rsidR="00B63893" w:rsidRPr="00627F74">
        <w:rPr>
          <w:color w:val="auto"/>
        </w:rPr>
        <w:t xml:space="preserve">domain names </w:t>
      </w:r>
      <w:r w:rsidRPr="00627F74">
        <w:rPr>
          <w:color w:val="auto"/>
        </w:rPr>
        <w:t>will gradually decrease</w:t>
      </w:r>
      <w:r w:rsidR="006915E8">
        <w:rPr>
          <w:color w:val="auto"/>
        </w:rPr>
        <w:t xml:space="preserve"> with each stage</w:t>
      </w:r>
      <w:r w:rsidRPr="00627F74">
        <w:rPr>
          <w:color w:val="auto"/>
        </w:rPr>
        <w:t xml:space="preserve">. </w:t>
      </w:r>
      <w:r w:rsidR="00574D3F" w:rsidRPr="00627F74">
        <w:rPr>
          <w:color w:val="auto"/>
        </w:rPr>
        <w:t xml:space="preserve">Domains will be Allocated on a first-come, first-serve basis. </w:t>
      </w:r>
    </w:p>
    <w:p w14:paraId="6BD0A43F" w14:textId="24F553A4" w:rsidR="00905B7A" w:rsidRPr="00627F74" w:rsidRDefault="00AC26E0" w:rsidP="004B1CEE">
      <w:pPr>
        <w:pStyle w:val="Heading2"/>
        <w:spacing w:line="240" w:lineRule="auto"/>
        <w:contextualSpacing w:val="0"/>
        <w:rPr>
          <w:rFonts w:ascii="Arial" w:hAnsi="Arial" w:cs="Arial"/>
          <w:color w:val="auto"/>
          <w:szCs w:val="26"/>
        </w:rPr>
      </w:pPr>
      <w:bookmarkStart w:id="34" w:name="_Toc536000367"/>
      <w:r>
        <w:rPr>
          <w:rFonts w:ascii="Arial" w:hAnsi="Arial" w:cs="Arial"/>
          <w:color w:val="auto"/>
          <w:szCs w:val="26"/>
        </w:rPr>
        <w:t>4</w:t>
      </w:r>
      <w:r w:rsidR="004B1CEE" w:rsidRPr="00627F74">
        <w:rPr>
          <w:rFonts w:ascii="Arial" w:hAnsi="Arial" w:cs="Arial"/>
          <w:color w:val="auto"/>
          <w:szCs w:val="26"/>
        </w:rPr>
        <w:t>.2</w:t>
      </w:r>
      <w:r w:rsidR="004B1CEE" w:rsidRPr="00627F74">
        <w:rPr>
          <w:rFonts w:ascii="Arial" w:hAnsi="Arial" w:cs="Arial"/>
          <w:color w:val="auto"/>
          <w:szCs w:val="26"/>
        </w:rPr>
        <w:tab/>
      </w:r>
      <w:r w:rsidR="00905B7A" w:rsidRPr="00627F74">
        <w:rPr>
          <w:rFonts w:ascii="Arial" w:hAnsi="Arial" w:cs="Arial"/>
          <w:color w:val="auto"/>
          <w:szCs w:val="26"/>
        </w:rPr>
        <w:t>Eligible Applicants</w:t>
      </w:r>
      <w:bookmarkEnd w:id="34"/>
    </w:p>
    <w:p w14:paraId="3E39F98D" w14:textId="7AC47649" w:rsidR="00905B7A" w:rsidRPr="00627F74" w:rsidRDefault="00905B7A" w:rsidP="00905B7A">
      <w:pPr>
        <w:pStyle w:val="Normal1"/>
        <w:widowControl w:val="0"/>
        <w:rPr>
          <w:color w:val="auto"/>
        </w:rPr>
      </w:pPr>
      <w:r w:rsidRPr="00627F74">
        <w:rPr>
          <w:color w:val="auto"/>
        </w:rPr>
        <w:t>Any person or organization can r</w:t>
      </w:r>
      <w:r w:rsidR="0073221F" w:rsidRPr="00627F74">
        <w:rPr>
          <w:color w:val="auto"/>
        </w:rPr>
        <w:t>egister a</w:t>
      </w:r>
      <w:r w:rsidRPr="00627F74">
        <w:rPr>
          <w:color w:val="auto"/>
        </w:rPr>
        <w:t xml:space="preserve"> Domain Name during the Early Access </w:t>
      </w:r>
      <w:r w:rsidR="007C0E5D" w:rsidRPr="00627F74">
        <w:rPr>
          <w:color w:val="auto"/>
        </w:rPr>
        <w:t>Period</w:t>
      </w:r>
      <w:r w:rsidRPr="00627F74">
        <w:rPr>
          <w:color w:val="auto"/>
        </w:rPr>
        <w:t xml:space="preserve">. </w:t>
      </w:r>
    </w:p>
    <w:p w14:paraId="6FF4B3A3" w14:textId="14AEEB38" w:rsidR="00905B7A" w:rsidRPr="00627F74" w:rsidRDefault="00AC26E0" w:rsidP="004B1CEE">
      <w:pPr>
        <w:pStyle w:val="Heading2"/>
        <w:spacing w:line="240" w:lineRule="auto"/>
        <w:contextualSpacing w:val="0"/>
        <w:rPr>
          <w:rFonts w:ascii="Arial" w:hAnsi="Arial" w:cs="Arial"/>
          <w:color w:val="auto"/>
          <w:szCs w:val="26"/>
        </w:rPr>
      </w:pPr>
      <w:bookmarkStart w:id="35" w:name="_Toc536000368"/>
      <w:r>
        <w:rPr>
          <w:rFonts w:ascii="Arial" w:hAnsi="Arial" w:cs="Arial"/>
          <w:color w:val="auto"/>
          <w:szCs w:val="26"/>
        </w:rPr>
        <w:t>4</w:t>
      </w:r>
      <w:r w:rsidR="004B1CEE" w:rsidRPr="00627F74">
        <w:rPr>
          <w:rFonts w:ascii="Arial" w:hAnsi="Arial" w:cs="Arial"/>
          <w:color w:val="auto"/>
          <w:szCs w:val="26"/>
        </w:rPr>
        <w:t>.3</w:t>
      </w:r>
      <w:r w:rsidR="004B1CEE" w:rsidRPr="00627F74">
        <w:rPr>
          <w:rFonts w:ascii="Arial" w:hAnsi="Arial" w:cs="Arial"/>
          <w:color w:val="auto"/>
          <w:szCs w:val="26"/>
        </w:rPr>
        <w:tab/>
      </w:r>
      <w:r w:rsidR="00905B7A" w:rsidRPr="00627F74">
        <w:rPr>
          <w:rFonts w:ascii="Arial" w:hAnsi="Arial" w:cs="Arial"/>
          <w:color w:val="auto"/>
          <w:szCs w:val="26"/>
        </w:rPr>
        <w:t>Duration</w:t>
      </w:r>
      <w:bookmarkEnd w:id="35"/>
    </w:p>
    <w:p w14:paraId="160AB13F" w14:textId="08CBC3E3" w:rsidR="00905B7A" w:rsidRPr="00627F74" w:rsidRDefault="0058412B" w:rsidP="00905B7A">
      <w:pPr>
        <w:pStyle w:val="Normal1"/>
        <w:widowControl w:val="0"/>
        <w:rPr>
          <w:color w:val="auto"/>
        </w:rPr>
      </w:pPr>
      <w:r w:rsidRPr="00627F74">
        <w:rPr>
          <w:color w:val="auto"/>
        </w:rPr>
        <w:t xml:space="preserve">Final dates and times will be posted at </w:t>
      </w:r>
      <w:r w:rsidR="005505D1" w:rsidRPr="00627F74">
        <w:rPr>
          <w:color w:val="auto"/>
        </w:rPr>
        <w:t>the Registry’s website</w:t>
      </w:r>
      <w:r w:rsidRPr="00627F74">
        <w:rPr>
          <w:color w:val="auto"/>
        </w:rPr>
        <w:t>.</w:t>
      </w:r>
    </w:p>
    <w:p w14:paraId="08C44C82" w14:textId="4C0C05D2" w:rsidR="00905B7A" w:rsidRPr="00627F74" w:rsidRDefault="00AC26E0" w:rsidP="004B1CEE">
      <w:pPr>
        <w:pStyle w:val="Heading2"/>
        <w:spacing w:line="240" w:lineRule="auto"/>
        <w:contextualSpacing w:val="0"/>
        <w:rPr>
          <w:rFonts w:ascii="Arial" w:hAnsi="Arial" w:cs="Arial"/>
          <w:color w:val="auto"/>
          <w:szCs w:val="26"/>
        </w:rPr>
      </w:pPr>
      <w:bookmarkStart w:id="36" w:name="_Toc536000369"/>
      <w:r>
        <w:rPr>
          <w:rFonts w:ascii="Arial" w:hAnsi="Arial" w:cs="Arial"/>
          <w:color w:val="auto"/>
          <w:szCs w:val="26"/>
        </w:rPr>
        <w:t>4</w:t>
      </w:r>
      <w:r w:rsidR="004B1CEE" w:rsidRPr="00627F74">
        <w:rPr>
          <w:rFonts w:ascii="Arial" w:hAnsi="Arial" w:cs="Arial"/>
          <w:color w:val="auto"/>
          <w:szCs w:val="26"/>
        </w:rPr>
        <w:t xml:space="preserve">.4 </w:t>
      </w:r>
      <w:r w:rsidR="004B1CEE" w:rsidRPr="00627F74">
        <w:rPr>
          <w:rFonts w:ascii="Arial" w:hAnsi="Arial" w:cs="Arial"/>
          <w:color w:val="auto"/>
          <w:szCs w:val="26"/>
        </w:rPr>
        <w:tab/>
      </w:r>
      <w:r w:rsidR="00905B7A" w:rsidRPr="00627F74">
        <w:rPr>
          <w:rFonts w:ascii="Arial" w:hAnsi="Arial" w:cs="Arial"/>
          <w:color w:val="auto"/>
          <w:szCs w:val="26"/>
        </w:rPr>
        <w:t xml:space="preserve">Available Early Access </w:t>
      </w:r>
      <w:r w:rsidR="007C0E5D" w:rsidRPr="00627F74">
        <w:rPr>
          <w:rFonts w:ascii="Arial" w:hAnsi="Arial" w:cs="Arial"/>
          <w:color w:val="auto"/>
          <w:szCs w:val="26"/>
        </w:rPr>
        <w:t xml:space="preserve">Period </w:t>
      </w:r>
      <w:r w:rsidR="00905B7A" w:rsidRPr="00627F74">
        <w:rPr>
          <w:rFonts w:ascii="Arial" w:hAnsi="Arial" w:cs="Arial"/>
          <w:color w:val="auto"/>
          <w:szCs w:val="26"/>
        </w:rPr>
        <w:t>Registration Periods</w:t>
      </w:r>
      <w:bookmarkEnd w:id="36"/>
    </w:p>
    <w:p w14:paraId="2FEF1C34" w14:textId="4C7F566E" w:rsidR="00B63893" w:rsidRPr="00627F74" w:rsidRDefault="00905B7A" w:rsidP="00905B7A">
      <w:pPr>
        <w:pStyle w:val="Normal1"/>
        <w:widowControl w:val="0"/>
        <w:rPr>
          <w:color w:val="auto"/>
        </w:rPr>
      </w:pPr>
      <w:r w:rsidRPr="00627F74">
        <w:rPr>
          <w:color w:val="auto"/>
        </w:rPr>
        <w:t xml:space="preserve">Early Access </w:t>
      </w:r>
      <w:r w:rsidR="007C0E5D" w:rsidRPr="00627F74">
        <w:rPr>
          <w:color w:val="auto"/>
        </w:rPr>
        <w:t xml:space="preserve">Period </w:t>
      </w:r>
      <w:r w:rsidR="00341647" w:rsidRPr="00627F74">
        <w:rPr>
          <w:color w:val="auto"/>
        </w:rPr>
        <w:t>registrations</w:t>
      </w:r>
      <w:r w:rsidRPr="00627F74">
        <w:rPr>
          <w:color w:val="auto"/>
        </w:rPr>
        <w:t xml:space="preserve"> may be purchased in yearly increments of no less than one (1) year and no more than ten (10) years, commencing on the date on which the Domain Name is registered. Unless otherwise terminated, such registration will expire on the same day of the month the registration was created, unless it was created on February 29, in which case it will expire on March 1.</w:t>
      </w:r>
    </w:p>
    <w:p w14:paraId="75FC17D2" w14:textId="5C56533B" w:rsidR="00905B7A" w:rsidRPr="00627F74" w:rsidRDefault="00AC26E0" w:rsidP="004B1CEE">
      <w:pPr>
        <w:pStyle w:val="Heading2"/>
        <w:spacing w:line="240" w:lineRule="auto"/>
        <w:contextualSpacing w:val="0"/>
        <w:rPr>
          <w:rFonts w:ascii="Arial" w:hAnsi="Arial" w:cs="Arial"/>
          <w:color w:val="auto"/>
          <w:szCs w:val="26"/>
        </w:rPr>
      </w:pPr>
      <w:bookmarkStart w:id="37" w:name="_Toc536000370"/>
      <w:r>
        <w:rPr>
          <w:rFonts w:ascii="Arial" w:hAnsi="Arial" w:cs="Arial"/>
          <w:color w:val="auto"/>
          <w:szCs w:val="26"/>
        </w:rPr>
        <w:t>4</w:t>
      </w:r>
      <w:r w:rsidR="00B63893" w:rsidRPr="00627F74">
        <w:rPr>
          <w:rFonts w:ascii="Arial" w:hAnsi="Arial" w:cs="Arial"/>
          <w:color w:val="auto"/>
          <w:szCs w:val="26"/>
        </w:rPr>
        <w:t>.</w:t>
      </w:r>
      <w:r w:rsidR="008E748C" w:rsidRPr="00627F74">
        <w:rPr>
          <w:rFonts w:ascii="Arial" w:hAnsi="Arial" w:cs="Arial"/>
          <w:color w:val="auto"/>
          <w:szCs w:val="26"/>
        </w:rPr>
        <w:t>5</w:t>
      </w:r>
      <w:r w:rsidR="004B1CEE" w:rsidRPr="00627F74">
        <w:rPr>
          <w:rFonts w:ascii="Arial" w:hAnsi="Arial" w:cs="Arial"/>
          <w:color w:val="auto"/>
          <w:szCs w:val="26"/>
        </w:rPr>
        <w:tab/>
      </w:r>
      <w:r w:rsidR="00905B7A" w:rsidRPr="00627F74">
        <w:rPr>
          <w:rFonts w:ascii="Arial" w:hAnsi="Arial" w:cs="Arial"/>
          <w:color w:val="auto"/>
          <w:szCs w:val="26"/>
        </w:rPr>
        <w:t>Miscellaneous</w:t>
      </w:r>
      <w:bookmarkEnd w:id="37"/>
    </w:p>
    <w:p w14:paraId="15E745E7" w14:textId="6261E94E" w:rsidR="00954BFD" w:rsidRDefault="00905B7A" w:rsidP="002F0E14">
      <w:pPr>
        <w:pStyle w:val="Normal1"/>
        <w:widowControl w:val="0"/>
        <w:rPr>
          <w:color w:val="auto"/>
        </w:rPr>
      </w:pPr>
      <w:r w:rsidRPr="00627F74">
        <w:rPr>
          <w:color w:val="auto"/>
        </w:rPr>
        <w:t xml:space="preserve">Claims </w:t>
      </w:r>
      <w:r w:rsidR="003452E6" w:rsidRPr="00627F74">
        <w:rPr>
          <w:color w:val="auto"/>
        </w:rPr>
        <w:t xml:space="preserve">Services </w:t>
      </w:r>
      <w:r w:rsidRPr="00627F74">
        <w:rPr>
          <w:color w:val="auto"/>
        </w:rPr>
        <w:t xml:space="preserve">will be in effect during the entire duration of the </w:t>
      </w:r>
      <w:r w:rsidR="006E2540" w:rsidRPr="00627F74">
        <w:rPr>
          <w:color w:val="auto"/>
        </w:rPr>
        <w:t>Early Access Period</w:t>
      </w:r>
      <w:r w:rsidRPr="00627F74">
        <w:rPr>
          <w:color w:val="auto"/>
        </w:rPr>
        <w:t xml:space="preserve">. As such, an Applicant must acknowledge and accept the information contained within any Claims Notice that may be presented before processing of the Application. See the Claims Period section of these policies for more information on Claims </w:t>
      </w:r>
      <w:r w:rsidR="003452E6" w:rsidRPr="00627F74">
        <w:rPr>
          <w:color w:val="auto"/>
        </w:rPr>
        <w:t>Services</w:t>
      </w:r>
      <w:r w:rsidRPr="00627F74">
        <w:rPr>
          <w:color w:val="auto"/>
        </w:rPr>
        <w:t xml:space="preserve">. </w:t>
      </w:r>
    </w:p>
    <w:p w14:paraId="17320695" w14:textId="77777777" w:rsidR="002F0E14" w:rsidRPr="00627F74" w:rsidRDefault="002F0E14" w:rsidP="002F0E14">
      <w:pPr>
        <w:pStyle w:val="Normal1"/>
        <w:widowControl w:val="0"/>
        <w:rPr>
          <w:color w:val="auto"/>
        </w:rPr>
      </w:pPr>
    </w:p>
    <w:p w14:paraId="28523D2A" w14:textId="3BFEFF7A" w:rsidR="00E04EAC" w:rsidRPr="00627F74" w:rsidRDefault="00ED3305">
      <w:pPr>
        <w:pStyle w:val="Heading1"/>
        <w:contextualSpacing w:val="0"/>
        <w:rPr>
          <w:rFonts w:ascii="Arial" w:hAnsi="Arial" w:cs="Arial"/>
          <w:color w:val="auto"/>
        </w:rPr>
      </w:pPr>
      <w:bookmarkStart w:id="38" w:name="h.9517xgr1vwmo" w:colFirst="0" w:colLast="0"/>
      <w:bookmarkStart w:id="39" w:name="_Toc536000371"/>
      <w:bookmarkEnd w:id="38"/>
      <w:r>
        <w:rPr>
          <w:rFonts w:ascii="Arial" w:hAnsi="Arial" w:cs="Arial"/>
          <w:color w:val="auto"/>
        </w:rPr>
        <w:t>5</w:t>
      </w:r>
      <w:r w:rsidR="00B130D7" w:rsidRPr="00627F74">
        <w:rPr>
          <w:rFonts w:ascii="Arial" w:hAnsi="Arial" w:cs="Arial"/>
          <w:color w:val="auto"/>
        </w:rPr>
        <w:t>.</w:t>
      </w:r>
      <w:r w:rsidR="00325D72" w:rsidRPr="00627F74">
        <w:rPr>
          <w:rFonts w:ascii="Arial" w:hAnsi="Arial" w:cs="Arial"/>
          <w:color w:val="auto"/>
        </w:rPr>
        <w:tab/>
        <w:t>General Availability</w:t>
      </w:r>
      <w:bookmarkEnd w:id="39"/>
      <w:r w:rsidR="00325D72" w:rsidRPr="00627F74">
        <w:rPr>
          <w:rFonts w:ascii="Arial" w:hAnsi="Arial" w:cs="Arial"/>
          <w:color w:val="auto"/>
        </w:rPr>
        <w:t xml:space="preserve"> </w:t>
      </w:r>
    </w:p>
    <w:p w14:paraId="763788B7" w14:textId="310F0FAD" w:rsidR="00E04EAC" w:rsidRDefault="00325D72" w:rsidP="002F0E14">
      <w:pPr>
        <w:pStyle w:val="Normal1"/>
        <w:widowControl w:val="0"/>
        <w:rPr>
          <w:color w:val="auto"/>
        </w:rPr>
      </w:pPr>
      <w:r w:rsidRPr="00627F74">
        <w:rPr>
          <w:color w:val="auto"/>
        </w:rPr>
        <w:t xml:space="preserve">Upon the commencement of General Availability, Available Names will be allocated via </w:t>
      </w:r>
      <w:r w:rsidR="002F0E14" w:rsidRPr="00627F74">
        <w:rPr>
          <w:color w:val="auto"/>
        </w:rPr>
        <w:t>ICANN accredited r</w:t>
      </w:r>
      <w:r w:rsidRPr="00627F74">
        <w:rPr>
          <w:color w:val="auto"/>
        </w:rPr>
        <w:t>egistrars on a first-come, first-served basis subject to the Registry Policies and ICANN Requirements. The first ninety (90) days of the General Availability period will be part of the Claims Period. As such, an Applicant must acknowledge and accept the information contained within any Claims Notice that may be presented before processing of the</w:t>
      </w:r>
      <w:r w:rsidR="00766330" w:rsidRPr="00627F74">
        <w:rPr>
          <w:color w:val="auto"/>
        </w:rPr>
        <w:t xml:space="preserve"> Application. See the</w:t>
      </w:r>
      <w:r w:rsidRPr="00627F74">
        <w:rPr>
          <w:color w:val="auto"/>
        </w:rPr>
        <w:t xml:space="preserve"> Claims Period section of these policies for more information on the Claims Period. </w:t>
      </w:r>
    </w:p>
    <w:p w14:paraId="42336B7F" w14:textId="77777777" w:rsidR="00E04EAC" w:rsidRPr="00627F74" w:rsidRDefault="00E04EAC">
      <w:pPr>
        <w:pStyle w:val="Normal1"/>
        <w:widowControl w:val="0"/>
        <w:rPr>
          <w:color w:val="auto"/>
        </w:rPr>
      </w:pPr>
    </w:p>
    <w:p w14:paraId="49AFBC1B" w14:textId="31B9B526" w:rsidR="00E04EAC" w:rsidRPr="00627F74" w:rsidRDefault="00ED3305">
      <w:pPr>
        <w:pStyle w:val="Heading1"/>
        <w:contextualSpacing w:val="0"/>
        <w:rPr>
          <w:rFonts w:ascii="Arial" w:hAnsi="Arial" w:cs="Arial"/>
          <w:color w:val="auto"/>
        </w:rPr>
      </w:pPr>
      <w:bookmarkStart w:id="40" w:name="h.5pbiq7xxqt0o" w:colFirst="0" w:colLast="0"/>
      <w:bookmarkStart w:id="41" w:name="_Toc536000372"/>
      <w:bookmarkEnd w:id="40"/>
      <w:r>
        <w:rPr>
          <w:rFonts w:ascii="Arial" w:hAnsi="Arial" w:cs="Arial"/>
          <w:color w:val="auto"/>
        </w:rPr>
        <w:t>6</w:t>
      </w:r>
      <w:r w:rsidR="00B130D7" w:rsidRPr="00627F74">
        <w:rPr>
          <w:rFonts w:ascii="Arial" w:hAnsi="Arial" w:cs="Arial"/>
          <w:color w:val="auto"/>
        </w:rPr>
        <w:t>.</w:t>
      </w:r>
      <w:r w:rsidR="00325D72" w:rsidRPr="00627F74">
        <w:rPr>
          <w:rFonts w:ascii="Arial" w:hAnsi="Arial" w:cs="Arial"/>
          <w:color w:val="auto"/>
        </w:rPr>
        <w:tab/>
        <w:t>Claims Period</w:t>
      </w:r>
      <w:bookmarkEnd w:id="41"/>
    </w:p>
    <w:p w14:paraId="75D030E5" w14:textId="0BF9A34D" w:rsidR="00E04EAC" w:rsidRPr="00627F74" w:rsidRDefault="00A34408">
      <w:pPr>
        <w:pStyle w:val="Normal1"/>
        <w:widowControl w:val="0"/>
        <w:rPr>
          <w:color w:val="auto"/>
        </w:rPr>
      </w:pPr>
      <w:r w:rsidRPr="00627F74">
        <w:rPr>
          <w:color w:val="auto"/>
        </w:rPr>
        <w:t xml:space="preserve">The </w:t>
      </w:r>
      <w:r w:rsidR="00325D72" w:rsidRPr="00627F74">
        <w:rPr>
          <w:color w:val="auto"/>
        </w:rPr>
        <w:t xml:space="preserve">Claims Period will operate for </w:t>
      </w:r>
      <w:r w:rsidR="006E2540" w:rsidRPr="00627F74">
        <w:rPr>
          <w:color w:val="auto"/>
        </w:rPr>
        <w:t xml:space="preserve">the </w:t>
      </w:r>
      <w:r w:rsidR="00325D72" w:rsidRPr="00627F74">
        <w:rPr>
          <w:color w:val="auto"/>
        </w:rPr>
        <w:t xml:space="preserve">first ninety (90) days of General Availability. </w:t>
      </w:r>
      <w:r w:rsidR="00C27B05" w:rsidRPr="00627F74">
        <w:rPr>
          <w:color w:val="auto"/>
        </w:rPr>
        <w:t xml:space="preserve">Claims Services will be offered during this Period. Claims Services will also be offered during the Early Access Program. </w:t>
      </w:r>
    </w:p>
    <w:p w14:paraId="4EF0C045" w14:textId="77777777" w:rsidR="00E04EAC" w:rsidRPr="00627F74" w:rsidRDefault="00E04EAC">
      <w:pPr>
        <w:pStyle w:val="Normal1"/>
        <w:widowControl w:val="0"/>
        <w:rPr>
          <w:color w:val="auto"/>
        </w:rPr>
      </w:pPr>
    </w:p>
    <w:p w14:paraId="19ED3FEA" w14:textId="1AB76EA2" w:rsidR="00E04EAC" w:rsidRDefault="00325D72" w:rsidP="002F0E14">
      <w:pPr>
        <w:pStyle w:val="Normal1"/>
        <w:widowControl w:val="0"/>
        <w:rPr>
          <w:color w:val="auto"/>
        </w:rPr>
      </w:pPr>
      <w:r w:rsidRPr="00627F74">
        <w:rPr>
          <w:color w:val="auto"/>
        </w:rPr>
        <w:t xml:space="preserve">Throughout the time when the </w:t>
      </w:r>
      <w:r w:rsidR="00E55F40" w:rsidRPr="00627F74">
        <w:rPr>
          <w:color w:val="auto"/>
        </w:rPr>
        <w:t>Claims S</w:t>
      </w:r>
      <w:r w:rsidR="00C27B05" w:rsidRPr="00627F74">
        <w:rPr>
          <w:color w:val="auto"/>
        </w:rPr>
        <w:t>ervices are offered</w:t>
      </w:r>
      <w:r w:rsidRPr="00627F74">
        <w:rPr>
          <w:color w:val="auto"/>
        </w:rPr>
        <w:t>, during the process of making an Application for a domain name, the Applicant will be notified (via a Cla</w:t>
      </w:r>
      <w:r w:rsidR="00574D3F" w:rsidRPr="00627F74">
        <w:rPr>
          <w:color w:val="auto"/>
        </w:rPr>
        <w:t>ims Notice) if the applied</w:t>
      </w:r>
      <w:r w:rsidR="00B447FC">
        <w:rPr>
          <w:color w:val="auto"/>
        </w:rPr>
        <w:t>-</w:t>
      </w:r>
      <w:r w:rsidR="00574D3F" w:rsidRPr="00627F74">
        <w:rPr>
          <w:color w:val="auto"/>
        </w:rPr>
        <w:t>for l</w:t>
      </w:r>
      <w:r w:rsidR="00E55F40" w:rsidRPr="00627F74">
        <w:rPr>
          <w:color w:val="auto"/>
        </w:rPr>
        <w:t xml:space="preserve">abel </w:t>
      </w:r>
      <w:r w:rsidR="00B447FC">
        <w:rPr>
          <w:color w:val="auto"/>
        </w:rPr>
        <w:t xml:space="preserve">matches </w:t>
      </w:r>
      <w:r w:rsidRPr="00627F74">
        <w:rPr>
          <w:color w:val="auto"/>
        </w:rPr>
        <w:t>a Trademark Record in the Trade</w:t>
      </w:r>
      <w:r w:rsidR="002E18D6" w:rsidRPr="00627F74">
        <w:rPr>
          <w:color w:val="auto"/>
        </w:rPr>
        <w:t>mark Clearinghouse. Where that label is a</w:t>
      </w:r>
      <w:r w:rsidRPr="00627F74">
        <w:rPr>
          <w:color w:val="auto"/>
        </w:rPr>
        <w:t xml:space="preserve">llocated, the Trademark Holder with the corresponding Trademark Record will be notified of such by the TMCH Sunrise and Claims Operator. </w:t>
      </w:r>
    </w:p>
    <w:p w14:paraId="4B4826C9" w14:textId="02831A71" w:rsidR="00ED3305" w:rsidRDefault="00ED3305" w:rsidP="002F0E14">
      <w:pPr>
        <w:pStyle w:val="Normal1"/>
        <w:widowControl w:val="0"/>
        <w:rPr>
          <w:color w:val="auto"/>
        </w:rPr>
      </w:pPr>
    </w:p>
    <w:p w14:paraId="3CF85061" w14:textId="1D11F1DC" w:rsidR="00ED3305" w:rsidRPr="00627F74" w:rsidRDefault="00ED3305" w:rsidP="00ED3305">
      <w:pPr>
        <w:pStyle w:val="Heading1"/>
        <w:contextualSpacing w:val="0"/>
        <w:rPr>
          <w:rFonts w:ascii="Arial" w:hAnsi="Arial" w:cs="Arial"/>
          <w:color w:val="auto"/>
        </w:rPr>
      </w:pPr>
      <w:bookmarkStart w:id="42" w:name="_Toc536000373"/>
      <w:r>
        <w:rPr>
          <w:rFonts w:ascii="Arial" w:hAnsi="Arial" w:cs="Arial"/>
          <w:color w:val="auto"/>
        </w:rPr>
        <w:lastRenderedPageBreak/>
        <w:t>7</w:t>
      </w:r>
      <w:r w:rsidRPr="00627F74">
        <w:rPr>
          <w:rFonts w:ascii="Arial" w:hAnsi="Arial" w:cs="Arial"/>
          <w:color w:val="auto"/>
        </w:rPr>
        <w:t>.</w:t>
      </w:r>
      <w:r w:rsidRPr="00627F74">
        <w:rPr>
          <w:rFonts w:ascii="Arial" w:hAnsi="Arial" w:cs="Arial"/>
          <w:color w:val="auto"/>
        </w:rPr>
        <w:tab/>
      </w:r>
      <w:r w:rsidRPr="00ED3305">
        <w:rPr>
          <w:rFonts w:ascii="Arial" w:hAnsi="Arial" w:cs="Arial"/>
          <w:color w:val="auto"/>
        </w:rPr>
        <w:t>Sunrise Dispute Resolution Policy (“SDRP”)</w:t>
      </w:r>
      <w:bookmarkEnd w:id="42"/>
    </w:p>
    <w:p w14:paraId="7A9A13C6" w14:textId="2ADEFD61" w:rsidR="00ED3305" w:rsidRPr="00627F74" w:rsidRDefault="00ED3305" w:rsidP="002F0E14">
      <w:pPr>
        <w:pStyle w:val="Normal1"/>
        <w:widowControl w:val="0"/>
        <w:rPr>
          <w:color w:val="auto"/>
        </w:rPr>
      </w:pPr>
      <w:r w:rsidRPr="00ED3305">
        <w:rPr>
          <w:color w:val="auto"/>
        </w:rPr>
        <w:t>Registry shall post Sunrise Dispute Resolution Policies (“SDRP”) to the Registry Website prior to the launch of the Sunrise Period for each TLD. This SDRP shall be incorporated by reference into the Registration Agreement and these Policies for each TLD.</w:t>
      </w:r>
    </w:p>
    <w:p w14:paraId="000B5E11" w14:textId="5636335B" w:rsidR="00E328B4" w:rsidRPr="00627F74" w:rsidRDefault="0038231A" w:rsidP="00E328B4">
      <w:pPr>
        <w:pStyle w:val="Heading1"/>
        <w:contextualSpacing w:val="0"/>
        <w:rPr>
          <w:rFonts w:ascii="Arial" w:hAnsi="Arial" w:cs="Arial"/>
          <w:color w:val="auto"/>
        </w:rPr>
      </w:pPr>
      <w:bookmarkStart w:id="43" w:name="h.adzab2vuxxbj" w:colFirst="0" w:colLast="0"/>
      <w:bookmarkStart w:id="44" w:name="_Toc536000374"/>
      <w:bookmarkEnd w:id="43"/>
      <w:r w:rsidRPr="00627F74">
        <w:rPr>
          <w:rFonts w:ascii="Arial" w:hAnsi="Arial" w:cs="Arial"/>
          <w:color w:val="auto"/>
        </w:rPr>
        <w:t>8</w:t>
      </w:r>
      <w:r w:rsidR="00B130D7" w:rsidRPr="00627F74">
        <w:rPr>
          <w:rFonts w:ascii="Arial" w:hAnsi="Arial" w:cs="Arial"/>
          <w:color w:val="auto"/>
        </w:rPr>
        <w:t>.</w:t>
      </w:r>
      <w:r w:rsidR="00E328B4" w:rsidRPr="00627F74">
        <w:rPr>
          <w:rFonts w:ascii="Arial" w:hAnsi="Arial" w:cs="Arial"/>
          <w:color w:val="auto"/>
        </w:rPr>
        <w:tab/>
        <w:t>Modification of These Policies</w:t>
      </w:r>
      <w:bookmarkEnd w:id="44"/>
    </w:p>
    <w:p w14:paraId="4F246F77" w14:textId="77777777" w:rsidR="00E328B4" w:rsidRPr="00627F74" w:rsidRDefault="00E328B4" w:rsidP="00E328B4">
      <w:pPr>
        <w:pStyle w:val="Normal1"/>
        <w:widowControl w:val="0"/>
        <w:rPr>
          <w:color w:val="auto"/>
        </w:rPr>
      </w:pPr>
    </w:p>
    <w:p w14:paraId="0D650008" w14:textId="1CAD4504" w:rsidR="0054276C" w:rsidRPr="00627F74" w:rsidRDefault="00E328B4" w:rsidP="001523A8">
      <w:pPr>
        <w:pStyle w:val="Normal1"/>
        <w:widowControl w:val="0"/>
        <w:rPr>
          <w:color w:val="auto"/>
        </w:rPr>
      </w:pPr>
      <w:r w:rsidRPr="00627F74">
        <w:rPr>
          <w:color w:val="auto"/>
        </w:rPr>
        <w:t>Subject to all relevant contracts between Registry, Registrar and ICANN, Registry reserves the rights to modify these policies at its</w:t>
      </w:r>
      <w:r w:rsidR="00B130D7" w:rsidRPr="00627F74">
        <w:rPr>
          <w:color w:val="auto"/>
        </w:rPr>
        <w:t xml:space="preserve"> sole discretion with ninety (30</w:t>
      </w:r>
      <w:r w:rsidRPr="00627F74">
        <w:rPr>
          <w:color w:val="auto"/>
        </w:rPr>
        <w:t>) days prior notice</w:t>
      </w:r>
      <w:r w:rsidR="00B130D7" w:rsidRPr="00627F74">
        <w:rPr>
          <w:color w:val="auto"/>
        </w:rPr>
        <w:t xml:space="preserve"> posted on the Registry Website</w:t>
      </w:r>
      <w:r w:rsidRPr="00627F74">
        <w:rPr>
          <w:color w:val="auto"/>
        </w:rPr>
        <w:t>.</w:t>
      </w:r>
    </w:p>
    <w:p w14:paraId="05015FF9" w14:textId="612E53D8" w:rsidR="002F0E14" w:rsidRPr="00627F74" w:rsidRDefault="002F0E14" w:rsidP="001523A8">
      <w:pPr>
        <w:pStyle w:val="Normal1"/>
        <w:widowControl w:val="0"/>
        <w:rPr>
          <w:color w:val="auto"/>
        </w:rPr>
      </w:pPr>
    </w:p>
    <w:p w14:paraId="20FFFFA4" w14:textId="2ADE7BB8" w:rsidR="002F0E14" w:rsidRPr="00627F74" w:rsidRDefault="002F0E14" w:rsidP="002F0E14">
      <w:pPr>
        <w:pStyle w:val="Heading1"/>
        <w:contextualSpacing w:val="0"/>
        <w:rPr>
          <w:rFonts w:ascii="Arial" w:hAnsi="Arial" w:cs="Arial"/>
          <w:color w:val="auto"/>
        </w:rPr>
      </w:pPr>
      <w:bookmarkStart w:id="45" w:name="_Toc536000375"/>
      <w:r w:rsidRPr="00627F74">
        <w:rPr>
          <w:rFonts w:ascii="Arial" w:hAnsi="Arial" w:cs="Arial"/>
          <w:color w:val="auto"/>
        </w:rPr>
        <w:t>9</w:t>
      </w:r>
      <w:r w:rsidR="00B130D7" w:rsidRPr="00627F74">
        <w:rPr>
          <w:rFonts w:ascii="Arial" w:hAnsi="Arial" w:cs="Arial"/>
          <w:color w:val="auto"/>
        </w:rPr>
        <w:t>.</w:t>
      </w:r>
      <w:r w:rsidRPr="00627F74">
        <w:rPr>
          <w:rFonts w:ascii="Arial" w:hAnsi="Arial" w:cs="Arial"/>
          <w:color w:val="auto"/>
        </w:rPr>
        <w:tab/>
        <w:t>Definitions</w:t>
      </w:r>
      <w:bookmarkEnd w:id="45"/>
    </w:p>
    <w:p w14:paraId="17FEEF4D" w14:textId="77777777" w:rsidR="002F0E14" w:rsidRPr="00627F74" w:rsidRDefault="002F0E14" w:rsidP="002F0E14">
      <w:pPr>
        <w:pStyle w:val="Normal1"/>
        <w:widowControl w:val="0"/>
        <w:rPr>
          <w:color w:val="auto"/>
        </w:rPr>
      </w:pPr>
    </w:p>
    <w:p w14:paraId="2A2F23B5" w14:textId="77777777" w:rsidR="002F0E14" w:rsidRPr="00627F74" w:rsidRDefault="002F0E14" w:rsidP="002F0E14">
      <w:pPr>
        <w:pStyle w:val="Normal1"/>
        <w:widowControl w:val="0"/>
        <w:rPr>
          <w:color w:val="auto"/>
        </w:rPr>
      </w:pPr>
      <w:r w:rsidRPr="00627F74">
        <w:rPr>
          <w:color w:val="auto"/>
        </w:rPr>
        <w:t xml:space="preserve">In this document: </w:t>
      </w:r>
    </w:p>
    <w:p w14:paraId="6D799C36" w14:textId="77777777" w:rsidR="002F0E14" w:rsidRPr="00627F74" w:rsidRDefault="002F0E14" w:rsidP="002F0E14">
      <w:pPr>
        <w:pStyle w:val="Normal1"/>
        <w:widowControl w:val="0"/>
        <w:rPr>
          <w:color w:val="auto"/>
        </w:rPr>
      </w:pPr>
    </w:p>
    <w:p w14:paraId="6D6AAC11" w14:textId="77777777" w:rsidR="002F0E14" w:rsidRPr="00627F74" w:rsidRDefault="002F0E14" w:rsidP="002F0E14">
      <w:pPr>
        <w:pStyle w:val="Normal1"/>
        <w:widowControl w:val="0"/>
        <w:rPr>
          <w:color w:val="auto"/>
        </w:rPr>
      </w:pPr>
      <w:r w:rsidRPr="00627F74">
        <w:rPr>
          <w:color w:val="auto"/>
        </w:rPr>
        <w:t xml:space="preserve">“Allocation” means the method by which a domain name is created and assigned to an Applicant, “Allocated” shall have a corresponding meaning. </w:t>
      </w:r>
    </w:p>
    <w:p w14:paraId="3057EA1C" w14:textId="77777777" w:rsidR="002F0E14" w:rsidRPr="00627F74" w:rsidRDefault="002F0E14" w:rsidP="002F0E14">
      <w:pPr>
        <w:pStyle w:val="Normal1"/>
        <w:widowControl w:val="0"/>
        <w:rPr>
          <w:color w:val="auto"/>
        </w:rPr>
      </w:pPr>
    </w:p>
    <w:p w14:paraId="37BCF73C" w14:textId="77777777" w:rsidR="002F0E14" w:rsidRPr="00627F74" w:rsidRDefault="002F0E14" w:rsidP="002F0E14">
      <w:pPr>
        <w:pStyle w:val="Normal1"/>
        <w:widowControl w:val="0"/>
        <w:rPr>
          <w:color w:val="auto"/>
        </w:rPr>
      </w:pPr>
      <w:r w:rsidRPr="00627F74">
        <w:rPr>
          <w:color w:val="auto"/>
        </w:rPr>
        <w:t xml:space="preserve">“Applicant” means a natural person, company or organization in whose name an Application is submitted. </w:t>
      </w:r>
    </w:p>
    <w:p w14:paraId="67658213" w14:textId="77777777" w:rsidR="002F0E14" w:rsidRPr="00627F74" w:rsidRDefault="002F0E14" w:rsidP="002F0E14">
      <w:pPr>
        <w:pStyle w:val="Normal1"/>
        <w:widowControl w:val="0"/>
        <w:rPr>
          <w:color w:val="auto"/>
        </w:rPr>
      </w:pPr>
    </w:p>
    <w:p w14:paraId="3C3C0578" w14:textId="77777777" w:rsidR="002F0E14" w:rsidRPr="00627F74" w:rsidRDefault="002F0E14" w:rsidP="002F0E14">
      <w:pPr>
        <w:pStyle w:val="Normal1"/>
        <w:widowControl w:val="0"/>
        <w:rPr>
          <w:color w:val="auto"/>
        </w:rPr>
      </w:pPr>
      <w:r w:rsidRPr="00627F74">
        <w:rPr>
          <w:color w:val="auto"/>
        </w:rPr>
        <w:t xml:space="preserve">“Application” means the complete and technically correct request for a domain name, which complies with this policy and any other policy issued by us, or ICANN. </w:t>
      </w:r>
    </w:p>
    <w:p w14:paraId="65AA9C04" w14:textId="77777777" w:rsidR="002F0E14" w:rsidRPr="00627F74" w:rsidRDefault="002F0E14" w:rsidP="002F0E14">
      <w:pPr>
        <w:pStyle w:val="Normal1"/>
        <w:widowControl w:val="0"/>
        <w:rPr>
          <w:color w:val="auto"/>
        </w:rPr>
      </w:pPr>
    </w:p>
    <w:p w14:paraId="5D3033F9" w14:textId="77777777" w:rsidR="002F0E14" w:rsidRPr="00627F74" w:rsidRDefault="002F0E14" w:rsidP="002F0E14">
      <w:pPr>
        <w:pStyle w:val="Normal1"/>
        <w:widowControl w:val="0"/>
        <w:rPr>
          <w:color w:val="auto"/>
        </w:rPr>
      </w:pPr>
      <w:r w:rsidRPr="00627F74">
        <w:rPr>
          <w:color w:val="auto"/>
        </w:rPr>
        <w:t>“Available Names” means names that have not been reserved, restricted, registered, awarded, or otherwise allocated.</w:t>
      </w:r>
    </w:p>
    <w:p w14:paraId="1D46AE3A" w14:textId="77777777" w:rsidR="002F0E14" w:rsidRPr="00627F74" w:rsidRDefault="002F0E14" w:rsidP="002F0E14">
      <w:pPr>
        <w:pStyle w:val="Normal1"/>
        <w:widowControl w:val="0"/>
        <w:rPr>
          <w:color w:val="auto"/>
        </w:rPr>
      </w:pPr>
    </w:p>
    <w:p w14:paraId="3B96A796" w14:textId="77777777" w:rsidR="002F0E14" w:rsidRPr="00627F74" w:rsidRDefault="002F0E14" w:rsidP="002F0E14">
      <w:pPr>
        <w:pStyle w:val="Normal1"/>
        <w:widowControl w:val="0"/>
        <w:rPr>
          <w:color w:val="auto"/>
        </w:rPr>
      </w:pPr>
      <w:r w:rsidRPr="00627F74">
        <w:rPr>
          <w:color w:val="auto"/>
        </w:rPr>
        <w:t xml:space="preserve">“Claims Notice “means a notice provided to an Applicant indicating that the applied for Label is a Trademark Match to a Trademark Record in the Trademark Clearinghouse. </w:t>
      </w:r>
    </w:p>
    <w:p w14:paraId="1DA7E808" w14:textId="77777777" w:rsidR="002F0E14" w:rsidRPr="00627F74" w:rsidRDefault="002F0E14" w:rsidP="002F0E14">
      <w:pPr>
        <w:pStyle w:val="Normal1"/>
        <w:widowControl w:val="0"/>
        <w:rPr>
          <w:color w:val="auto"/>
        </w:rPr>
      </w:pPr>
    </w:p>
    <w:p w14:paraId="4D7D39C5" w14:textId="77777777" w:rsidR="002F0E14" w:rsidRPr="00627F74" w:rsidRDefault="002F0E14" w:rsidP="002F0E14">
      <w:pPr>
        <w:pStyle w:val="Normal1"/>
        <w:widowControl w:val="0"/>
        <w:rPr>
          <w:color w:val="auto"/>
        </w:rPr>
      </w:pPr>
      <w:r w:rsidRPr="00627F74">
        <w:rPr>
          <w:color w:val="auto"/>
        </w:rPr>
        <w:t xml:space="preserve">“Claims Services” means the services that collectively provide:  </w:t>
      </w:r>
    </w:p>
    <w:p w14:paraId="581E239D" w14:textId="77777777" w:rsidR="002F0E14" w:rsidRPr="00627F74" w:rsidRDefault="002F0E14" w:rsidP="002F0E14">
      <w:pPr>
        <w:pStyle w:val="Normal1"/>
        <w:widowControl w:val="0"/>
        <w:numPr>
          <w:ilvl w:val="0"/>
          <w:numId w:val="7"/>
        </w:numPr>
        <w:ind w:hanging="359"/>
        <w:contextualSpacing/>
        <w:rPr>
          <w:color w:val="auto"/>
        </w:rPr>
      </w:pPr>
      <w:r w:rsidRPr="00627F74">
        <w:rPr>
          <w:color w:val="auto"/>
        </w:rPr>
        <w:t xml:space="preserve">Applicants with a Claims Notice, and  </w:t>
      </w:r>
    </w:p>
    <w:p w14:paraId="17493134" w14:textId="77777777" w:rsidR="002F0E14" w:rsidRPr="00627F74" w:rsidRDefault="002F0E14" w:rsidP="002F0E14">
      <w:pPr>
        <w:pStyle w:val="Normal1"/>
        <w:widowControl w:val="0"/>
        <w:numPr>
          <w:ilvl w:val="0"/>
          <w:numId w:val="7"/>
        </w:numPr>
        <w:ind w:hanging="359"/>
        <w:contextualSpacing/>
        <w:rPr>
          <w:color w:val="auto"/>
        </w:rPr>
      </w:pPr>
      <w:r w:rsidRPr="00627F74">
        <w:rPr>
          <w:color w:val="auto"/>
        </w:rPr>
        <w:t xml:space="preserve">Trademark Holders, with a corresponding Trademark Record, with notice that a Label that is a Trademark Match to the Trademark Record is Allocated. </w:t>
      </w:r>
    </w:p>
    <w:p w14:paraId="6DF15255" w14:textId="77777777" w:rsidR="002F0E14" w:rsidRPr="00627F74" w:rsidRDefault="002F0E14" w:rsidP="002F0E14">
      <w:pPr>
        <w:pStyle w:val="Normal1"/>
        <w:widowControl w:val="0"/>
        <w:rPr>
          <w:color w:val="auto"/>
        </w:rPr>
      </w:pPr>
    </w:p>
    <w:p w14:paraId="5DF07ACB" w14:textId="77777777" w:rsidR="002F0E14" w:rsidRPr="00627F74" w:rsidRDefault="002F0E14" w:rsidP="002F0E14">
      <w:pPr>
        <w:pStyle w:val="Normal1"/>
        <w:widowControl w:val="0"/>
        <w:rPr>
          <w:color w:val="auto"/>
        </w:rPr>
      </w:pPr>
      <w:r w:rsidRPr="00627F74">
        <w:rPr>
          <w:color w:val="auto"/>
        </w:rPr>
        <w:t xml:space="preserve">“Claims Period” means the </w:t>
      </w:r>
      <w:proofErr w:type="gramStart"/>
      <w:r w:rsidRPr="00627F74">
        <w:rPr>
          <w:color w:val="auto"/>
        </w:rPr>
        <w:t>90 day</w:t>
      </w:r>
      <w:proofErr w:type="gramEnd"/>
      <w:r w:rsidRPr="00627F74">
        <w:rPr>
          <w:color w:val="auto"/>
        </w:rPr>
        <w:t xml:space="preserve"> period after the start of General Availability during which Claims Services are provided. </w:t>
      </w:r>
    </w:p>
    <w:p w14:paraId="1716A640" w14:textId="77777777" w:rsidR="005C2F6A" w:rsidRPr="00627F74" w:rsidRDefault="005C2F6A" w:rsidP="002F0E14">
      <w:pPr>
        <w:pStyle w:val="Normal1"/>
        <w:widowControl w:val="0"/>
        <w:rPr>
          <w:color w:val="auto"/>
        </w:rPr>
      </w:pPr>
    </w:p>
    <w:p w14:paraId="37FB272A" w14:textId="77777777" w:rsidR="002F0E14" w:rsidRPr="00627F74" w:rsidRDefault="002F0E14" w:rsidP="002F0E14">
      <w:pPr>
        <w:pStyle w:val="Normal1"/>
        <w:widowControl w:val="0"/>
        <w:rPr>
          <w:color w:val="auto"/>
        </w:rPr>
      </w:pPr>
      <w:r w:rsidRPr="00627F74">
        <w:rPr>
          <w:color w:val="auto"/>
        </w:rPr>
        <w:t xml:space="preserve">“Early Access Period” means the period between the </w:t>
      </w:r>
      <w:r w:rsidRPr="00627F74">
        <w:t xml:space="preserve">Trademark Holder </w:t>
      </w:r>
      <w:proofErr w:type="spellStart"/>
      <w:r w:rsidRPr="00627F74">
        <w:t>Landrush</w:t>
      </w:r>
      <w:proofErr w:type="spellEnd"/>
      <w:r w:rsidRPr="00627F74">
        <w:rPr>
          <w:color w:val="auto"/>
        </w:rPr>
        <w:t xml:space="preserve"> and General Availability during which special rules apply as described in these Policies. </w:t>
      </w:r>
    </w:p>
    <w:p w14:paraId="391A4FCC" w14:textId="77777777" w:rsidR="002F0E14" w:rsidRPr="00627F74" w:rsidRDefault="002F0E14" w:rsidP="002F0E14">
      <w:pPr>
        <w:pStyle w:val="Normal1"/>
        <w:widowControl w:val="0"/>
        <w:rPr>
          <w:color w:val="auto"/>
        </w:rPr>
      </w:pPr>
    </w:p>
    <w:p w14:paraId="41742145" w14:textId="77777777" w:rsidR="002F0E14" w:rsidRPr="00627F74" w:rsidRDefault="002F0E14" w:rsidP="002F0E14">
      <w:pPr>
        <w:pStyle w:val="Normal1"/>
        <w:widowControl w:val="0"/>
        <w:rPr>
          <w:color w:val="auto"/>
        </w:rPr>
      </w:pPr>
      <w:r w:rsidRPr="00627F74">
        <w:rPr>
          <w:color w:val="auto"/>
        </w:rPr>
        <w:t xml:space="preserve">“General Availability” means the point in time following which requests to register a domain </w:t>
      </w:r>
      <w:r w:rsidRPr="00627F74">
        <w:rPr>
          <w:color w:val="auto"/>
        </w:rPr>
        <w:lastRenderedPageBreak/>
        <w:t xml:space="preserve">name may be received from any eligible party on a first come, first served basis. </w:t>
      </w:r>
    </w:p>
    <w:p w14:paraId="1F2D3DF1" w14:textId="77777777" w:rsidR="002F0E14" w:rsidRPr="00627F74" w:rsidRDefault="002F0E14" w:rsidP="002F0E14">
      <w:pPr>
        <w:pStyle w:val="Normal1"/>
        <w:widowControl w:val="0"/>
        <w:rPr>
          <w:color w:val="auto"/>
        </w:rPr>
      </w:pPr>
    </w:p>
    <w:p w14:paraId="25AE1347" w14:textId="77777777" w:rsidR="002F0E14" w:rsidRPr="00627F74" w:rsidRDefault="002F0E14" w:rsidP="002F0E14">
      <w:pPr>
        <w:pStyle w:val="Normal1"/>
        <w:widowControl w:val="0"/>
        <w:rPr>
          <w:color w:val="auto"/>
        </w:rPr>
      </w:pPr>
      <w:r w:rsidRPr="00627F74">
        <w:rPr>
          <w:color w:val="auto"/>
        </w:rPr>
        <w:t xml:space="preserve">“ICANN” means the Internet Corporation for Assigned Names and Numbers, its successors and assigns. </w:t>
      </w:r>
    </w:p>
    <w:p w14:paraId="222664A2" w14:textId="77777777" w:rsidR="002F0E14" w:rsidRPr="00627F74" w:rsidRDefault="002F0E14" w:rsidP="002F0E14">
      <w:pPr>
        <w:pStyle w:val="Normal1"/>
        <w:widowControl w:val="0"/>
        <w:rPr>
          <w:color w:val="auto"/>
        </w:rPr>
      </w:pPr>
    </w:p>
    <w:p w14:paraId="35EF6C86" w14:textId="652EE561" w:rsidR="002F0E14" w:rsidRPr="00627F74" w:rsidRDefault="002F0E14" w:rsidP="002F0E14">
      <w:pPr>
        <w:pStyle w:val="Normal1"/>
        <w:widowControl w:val="0"/>
        <w:rPr>
          <w:color w:val="auto"/>
        </w:rPr>
      </w:pPr>
      <w:r w:rsidRPr="00627F74">
        <w:rPr>
          <w:color w:val="auto"/>
        </w:rPr>
        <w:t>“ICANN Requirements” means the Registry’s obligations under the Registry Agreement between the Registry and ICANN for the TLD</w:t>
      </w:r>
      <w:r w:rsidR="00D94741">
        <w:rPr>
          <w:color w:val="auto"/>
        </w:rPr>
        <w:t>s</w:t>
      </w:r>
      <w:r w:rsidRPr="00627F74">
        <w:rPr>
          <w:color w:val="auto"/>
        </w:rPr>
        <w:t>, as it may be subsequently modified or amended, and all ICANN Consensus Policies applicable to the TLD</w:t>
      </w:r>
      <w:r w:rsidR="00D94741">
        <w:rPr>
          <w:color w:val="auto"/>
        </w:rPr>
        <w:t>s</w:t>
      </w:r>
      <w:r w:rsidRPr="00627F74">
        <w:rPr>
          <w:color w:val="auto"/>
        </w:rPr>
        <w:t>.</w:t>
      </w:r>
    </w:p>
    <w:p w14:paraId="3D232A12" w14:textId="77777777" w:rsidR="002F0E14" w:rsidRPr="00627F74" w:rsidRDefault="002F0E14" w:rsidP="002F0E14">
      <w:pPr>
        <w:pStyle w:val="Normal1"/>
        <w:widowControl w:val="0"/>
        <w:rPr>
          <w:color w:val="auto"/>
        </w:rPr>
      </w:pPr>
    </w:p>
    <w:p w14:paraId="0911C2C5" w14:textId="5322B6D8" w:rsidR="002F0E14" w:rsidRPr="00627F74" w:rsidRDefault="002F0E14" w:rsidP="002F0E14">
      <w:pPr>
        <w:pStyle w:val="Normal1"/>
        <w:widowControl w:val="0"/>
        <w:rPr>
          <w:color w:val="auto"/>
        </w:rPr>
      </w:pPr>
      <w:r w:rsidRPr="00627F74">
        <w:rPr>
          <w:color w:val="auto"/>
        </w:rPr>
        <w:t>“Registrant” is an Applicant that has submitted a Registration Request that has been paid for in full and accepted by the Registry. A Registrant is the holder of a registered name in the TLD</w:t>
      </w:r>
      <w:r w:rsidR="00D94741">
        <w:rPr>
          <w:color w:val="auto"/>
        </w:rPr>
        <w:t>s</w:t>
      </w:r>
      <w:r w:rsidRPr="00627F74">
        <w:rPr>
          <w:color w:val="auto"/>
        </w:rPr>
        <w:t xml:space="preserve">. </w:t>
      </w:r>
    </w:p>
    <w:p w14:paraId="0969A4F6" w14:textId="77777777" w:rsidR="002F0E14" w:rsidRPr="00627F74" w:rsidRDefault="002F0E14" w:rsidP="002F0E14">
      <w:pPr>
        <w:pStyle w:val="Normal1"/>
        <w:widowControl w:val="0"/>
        <w:rPr>
          <w:color w:val="auto"/>
        </w:rPr>
      </w:pPr>
    </w:p>
    <w:p w14:paraId="34EA16FB" w14:textId="77777777" w:rsidR="002F0E14" w:rsidRPr="00627F74" w:rsidRDefault="002F0E14" w:rsidP="002F0E14">
      <w:pPr>
        <w:pStyle w:val="Normal1"/>
        <w:widowControl w:val="0"/>
        <w:rPr>
          <w:color w:val="auto"/>
        </w:rPr>
      </w:pPr>
      <w:r w:rsidRPr="00627F74">
        <w:rPr>
          <w:color w:val="auto"/>
        </w:rPr>
        <w:t xml:space="preserve">“Registration” means a domain name that has been accepted by the Registry in accordance with the terms of the Registry-Registrar Agreement and the relevant Registration Agreement for registration during a specified term. </w:t>
      </w:r>
    </w:p>
    <w:p w14:paraId="13807C12" w14:textId="77777777" w:rsidR="002F0E14" w:rsidRPr="00627F74" w:rsidRDefault="002F0E14" w:rsidP="002F0E14">
      <w:pPr>
        <w:pStyle w:val="Normal1"/>
        <w:widowControl w:val="0"/>
        <w:rPr>
          <w:color w:val="auto"/>
        </w:rPr>
      </w:pPr>
    </w:p>
    <w:p w14:paraId="43246CB2" w14:textId="75CD58ED" w:rsidR="002F0E14" w:rsidRPr="00627F74" w:rsidRDefault="002F0E14" w:rsidP="002F0E14">
      <w:pPr>
        <w:pStyle w:val="Normal1"/>
        <w:widowControl w:val="0"/>
        <w:rPr>
          <w:color w:val="auto"/>
        </w:rPr>
      </w:pPr>
      <w:r w:rsidRPr="00627F74">
        <w:rPr>
          <w:color w:val="auto"/>
        </w:rPr>
        <w:t>“Registration Request” is an application submitted by an Accredited Registrar on behalf of an Applicant to register a name in the TLD</w:t>
      </w:r>
      <w:r w:rsidR="00D94741">
        <w:rPr>
          <w:color w:val="auto"/>
        </w:rPr>
        <w:t>s</w:t>
      </w:r>
      <w:r w:rsidRPr="00627F74">
        <w:rPr>
          <w:color w:val="auto"/>
        </w:rPr>
        <w:t xml:space="preserve">. </w:t>
      </w:r>
    </w:p>
    <w:p w14:paraId="676ABE4E" w14:textId="77777777" w:rsidR="002F0E14" w:rsidRPr="00627F74" w:rsidRDefault="002F0E14" w:rsidP="002F0E14">
      <w:pPr>
        <w:pStyle w:val="Normal1"/>
        <w:widowControl w:val="0"/>
        <w:rPr>
          <w:color w:val="auto"/>
        </w:rPr>
      </w:pPr>
    </w:p>
    <w:p w14:paraId="0513A7C8" w14:textId="77777777" w:rsidR="002F0E14" w:rsidRPr="00627F74" w:rsidRDefault="002F0E14" w:rsidP="002F0E14">
      <w:pPr>
        <w:pStyle w:val="Normal1"/>
        <w:widowControl w:val="0"/>
        <w:rPr>
          <w:color w:val="auto"/>
        </w:rPr>
      </w:pPr>
      <w:r w:rsidRPr="00627F74">
        <w:rPr>
          <w:color w:val="auto"/>
        </w:rPr>
        <w:t>“Registry” or “Registry Operator” or “us” or “we” is XYZ.COM LLC.</w:t>
      </w:r>
    </w:p>
    <w:p w14:paraId="5E185748" w14:textId="77777777" w:rsidR="002F0E14" w:rsidRPr="00627F74" w:rsidRDefault="002F0E14" w:rsidP="002F0E14">
      <w:pPr>
        <w:pStyle w:val="Normal1"/>
        <w:widowControl w:val="0"/>
        <w:rPr>
          <w:color w:val="auto"/>
        </w:rPr>
      </w:pPr>
    </w:p>
    <w:p w14:paraId="66D944C3" w14:textId="6A8FF989" w:rsidR="002F0E14" w:rsidRPr="00627F74" w:rsidRDefault="002F0E14" w:rsidP="002F0E14">
      <w:pPr>
        <w:pStyle w:val="Normal1"/>
        <w:widowControl w:val="0"/>
        <w:rPr>
          <w:color w:val="auto"/>
        </w:rPr>
      </w:pPr>
      <w:r w:rsidRPr="00627F74">
        <w:rPr>
          <w:color w:val="auto"/>
        </w:rPr>
        <w:t xml:space="preserve">“Registry Policies” means the policies adopted from time to time by the Registry as posted under Policies on the Registry Website. </w:t>
      </w:r>
    </w:p>
    <w:p w14:paraId="382FE45A" w14:textId="77777777" w:rsidR="002F0E14" w:rsidRPr="00627F74" w:rsidRDefault="002F0E14" w:rsidP="002F0E14">
      <w:pPr>
        <w:pStyle w:val="Normal1"/>
        <w:widowControl w:val="0"/>
        <w:rPr>
          <w:color w:val="auto"/>
        </w:rPr>
      </w:pPr>
    </w:p>
    <w:p w14:paraId="20581FAC" w14:textId="5A38B6BA" w:rsidR="002F0E14" w:rsidRPr="00627F74" w:rsidRDefault="002F0E14" w:rsidP="002F0E14">
      <w:pPr>
        <w:pStyle w:val="Normal1"/>
        <w:widowControl w:val="0"/>
        <w:rPr>
          <w:color w:val="auto"/>
        </w:rPr>
      </w:pPr>
      <w:r w:rsidRPr="00627F74">
        <w:rPr>
          <w:color w:val="auto"/>
        </w:rPr>
        <w:t xml:space="preserve">“Registry Website” means </w:t>
      </w:r>
      <w:r w:rsidR="00264A20" w:rsidRPr="00264A20">
        <w:rPr>
          <w:color w:val="auto"/>
        </w:rPr>
        <w:t>http://nic.beauty, http://nic.hair and http://nic.skin</w:t>
      </w:r>
      <w:r w:rsidR="00264A20">
        <w:rPr>
          <w:color w:val="auto"/>
        </w:rPr>
        <w:t xml:space="preserve"> for each</w:t>
      </w:r>
      <w:r w:rsidR="00264A20" w:rsidRPr="00264A20">
        <w:rPr>
          <w:color w:val="auto"/>
        </w:rPr>
        <w:t xml:space="preserve"> respective</w:t>
      </w:r>
      <w:r w:rsidR="00264A20">
        <w:rPr>
          <w:color w:val="auto"/>
        </w:rPr>
        <w:t xml:space="preserve"> TLD</w:t>
      </w:r>
      <w:r w:rsidRPr="00627F74">
        <w:rPr>
          <w:color w:val="auto"/>
        </w:rPr>
        <w:t xml:space="preserve">. </w:t>
      </w:r>
    </w:p>
    <w:p w14:paraId="6FC3CE31" w14:textId="77777777" w:rsidR="002F0E14" w:rsidRPr="00627F74" w:rsidRDefault="002F0E14" w:rsidP="002F0E14">
      <w:pPr>
        <w:pStyle w:val="Normal1"/>
        <w:widowControl w:val="0"/>
        <w:rPr>
          <w:color w:val="auto"/>
        </w:rPr>
      </w:pPr>
    </w:p>
    <w:p w14:paraId="45CA1D4B" w14:textId="61D981D8" w:rsidR="002F0E14" w:rsidRPr="00627F74" w:rsidRDefault="002F0E14" w:rsidP="002F0E14">
      <w:pPr>
        <w:pStyle w:val="Normal1"/>
        <w:widowControl w:val="0"/>
        <w:rPr>
          <w:color w:val="auto"/>
        </w:rPr>
      </w:pPr>
      <w:r w:rsidRPr="00627F74">
        <w:rPr>
          <w:color w:val="auto"/>
        </w:rPr>
        <w:t>“Service” means the services that we provide in relation to the TLD</w:t>
      </w:r>
      <w:r w:rsidR="00D94741">
        <w:rPr>
          <w:color w:val="auto"/>
        </w:rPr>
        <w:t>s</w:t>
      </w:r>
      <w:r w:rsidRPr="00627F74">
        <w:rPr>
          <w:color w:val="auto"/>
        </w:rPr>
        <w:t xml:space="preserve">. </w:t>
      </w:r>
    </w:p>
    <w:p w14:paraId="75D2AADF" w14:textId="77777777" w:rsidR="002F0E14" w:rsidRPr="00627F74" w:rsidRDefault="002F0E14" w:rsidP="002F0E14">
      <w:pPr>
        <w:pStyle w:val="Normal1"/>
        <w:widowControl w:val="0"/>
        <w:rPr>
          <w:color w:val="auto"/>
        </w:rPr>
      </w:pPr>
    </w:p>
    <w:p w14:paraId="2DF22B0B" w14:textId="2D12F1F9" w:rsidR="002F0E14" w:rsidRPr="00627F74" w:rsidRDefault="002F0E14" w:rsidP="002F0E14">
      <w:pPr>
        <w:pStyle w:val="Normal1"/>
        <w:widowControl w:val="0"/>
        <w:rPr>
          <w:color w:val="auto"/>
        </w:rPr>
      </w:pPr>
      <w:r w:rsidRPr="00627F74">
        <w:rPr>
          <w:color w:val="auto"/>
        </w:rPr>
        <w:t>“TLD”</w:t>
      </w:r>
      <w:r w:rsidR="00D94741">
        <w:rPr>
          <w:color w:val="auto"/>
        </w:rPr>
        <w:t xml:space="preserve"> or “TLDs”</w:t>
      </w:r>
      <w:r w:rsidRPr="00627F74">
        <w:rPr>
          <w:color w:val="auto"/>
        </w:rPr>
        <w:t xml:space="preserve"> means top-level domain</w:t>
      </w:r>
      <w:bookmarkStart w:id="46" w:name="_GoBack"/>
      <w:bookmarkEnd w:id="46"/>
      <w:r w:rsidRPr="00627F74">
        <w:rPr>
          <w:color w:val="auto"/>
        </w:rPr>
        <w:t xml:space="preserve"> and for the purpose of this </w:t>
      </w:r>
      <w:r w:rsidR="003A0768">
        <w:rPr>
          <w:color w:val="auto"/>
        </w:rPr>
        <w:t>P</w:t>
      </w:r>
      <w:r w:rsidRPr="00627F74">
        <w:rPr>
          <w:color w:val="auto"/>
        </w:rPr>
        <w:t>olicy the TLD</w:t>
      </w:r>
      <w:r w:rsidR="003A0768">
        <w:rPr>
          <w:color w:val="auto"/>
        </w:rPr>
        <w:t>s</w:t>
      </w:r>
      <w:r w:rsidRPr="00627F74">
        <w:rPr>
          <w:color w:val="auto"/>
        </w:rPr>
        <w:t xml:space="preserve"> shall be</w:t>
      </w:r>
      <w:r w:rsidR="003A0768">
        <w:rPr>
          <w:color w:val="auto"/>
        </w:rPr>
        <w:t xml:space="preserve"> </w:t>
      </w:r>
      <w:r w:rsidR="00D94741">
        <w:rPr>
          <w:color w:val="auto"/>
        </w:rPr>
        <w:t xml:space="preserve">the TLDs </w:t>
      </w:r>
      <w:r w:rsidR="003A0768">
        <w:rPr>
          <w:color w:val="auto"/>
        </w:rPr>
        <w:t xml:space="preserve">described on the first page </w:t>
      </w:r>
      <w:r w:rsidR="00D94741">
        <w:rPr>
          <w:color w:val="auto"/>
        </w:rPr>
        <w:t>hereof</w:t>
      </w:r>
      <w:r w:rsidRPr="00627F74">
        <w:rPr>
          <w:color w:val="auto"/>
        </w:rPr>
        <w:t xml:space="preserve">. </w:t>
      </w:r>
    </w:p>
    <w:p w14:paraId="3E6A0C8E" w14:textId="77777777" w:rsidR="002F0E14" w:rsidRPr="00627F74" w:rsidRDefault="002F0E14" w:rsidP="002F0E14">
      <w:pPr>
        <w:pStyle w:val="Normal1"/>
        <w:widowControl w:val="0"/>
        <w:rPr>
          <w:color w:val="auto"/>
        </w:rPr>
      </w:pPr>
    </w:p>
    <w:p w14:paraId="057068F9" w14:textId="77777777" w:rsidR="002F0E14" w:rsidRPr="00627F74" w:rsidRDefault="002F0E14" w:rsidP="002F0E14">
      <w:pPr>
        <w:pStyle w:val="Normal1"/>
        <w:widowControl w:val="0"/>
        <w:rPr>
          <w:color w:val="auto"/>
        </w:rPr>
      </w:pPr>
      <w:r w:rsidRPr="00627F74">
        <w:rPr>
          <w:color w:val="auto"/>
        </w:rPr>
        <w:t xml:space="preserve">“TMCH Sunrise and Claims Operator” means the providers appointed by ICANN to serve as the Trademark Clearinghouse by accepting, authenticating, validating and facilitating the transmission of information related to certain trademarks. </w:t>
      </w:r>
    </w:p>
    <w:p w14:paraId="4477D393" w14:textId="77777777" w:rsidR="002F0E14" w:rsidRPr="00627F74" w:rsidRDefault="002F0E14" w:rsidP="002F0E14">
      <w:pPr>
        <w:pStyle w:val="Normal1"/>
        <w:widowControl w:val="0"/>
        <w:rPr>
          <w:color w:val="auto"/>
        </w:rPr>
      </w:pPr>
    </w:p>
    <w:p w14:paraId="43FC944E" w14:textId="77777777" w:rsidR="002F0E14" w:rsidRPr="00627F74" w:rsidRDefault="002F0E14" w:rsidP="002F0E14">
      <w:pPr>
        <w:pStyle w:val="Normal1"/>
        <w:widowControl w:val="0"/>
        <w:rPr>
          <w:color w:val="auto"/>
        </w:rPr>
      </w:pPr>
      <w:r w:rsidRPr="00627F74">
        <w:rPr>
          <w:color w:val="auto"/>
        </w:rPr>
        <w:t xml:space="preserve">“Trademark Clearinghouse” means the central repository for information to be authenticated, stored, and disseminated, pertaining to the rights of Trademark Holders. Trademark Holder means holders of marks that have been verified by the TMCH Sunrise and Claims Operator as meeting the requirements specified in the Trademark Clearinghouse Guidelines. </w:t>
      </w:r>
    </w:p>
    <w:p w14:paraId="4BD24F60" w14:textId="77777777" w:rsidR="002F0E14" w:rsidRPr="00627F74" w:rsidRDefault="002F0E14" w:rsidP="002F0E14">
      <w:pPr>
        <w:pStyle w:val="Normal1"/>
        <w:widowControl w:val="0"/>
        <w:rPr>
          <w:color w:val="auto"/>
        </w:rPr>
      </w:pPr>
    </w:p>
    <w:p w14:paraId="5E3BE3F3" w14:textId="77777777" w:rsidR="002F0E14" w:rsidRPr="00627F74" w:rsidRDefault="002F0E14" w:rsidP="002F0E14">
      <w:pPr>
        <w:pStyle w:val="Normal1"/>
        <w:widowControl w:val="0"/>
        <w:rPr>
          <w:color w:val="auto"/>
        </w:rPr>
      </w:pPr>
      <w:r w:rsidRPr="00627F74">
        <w:rPr>
          <w:color w:val="auto"/>
        </w:rPr>
        <w:t xml:space="preserve">“Trademark Match” means that a label is a match to a trademark, as described in the Trademark Clearinghouse Guidelines. </w:t>
      </w:r>
    </w:p>
    <w:p w14:paraId="3AA4C575" w14:textId="77777777" w:rsidR="002F0E14" w:rsidRPr="00627F74" w:rsidRDefault="002F0E14" w:rsidP="002F0E14">
      <w:pPr>
        <w:pStyle w:val="Normal1"/>
        <w:widowControl w:val="0"/>
        <w:rPr>
          <w:color w:val="auto"/>
        </w:rPr>
      </w:pPr>
    </w:p>
    <w:p w14:paraId="5E37EDB9" w14:textId="77777777" w:rsidR="002F0E14" w:rsidRPr="00627F74" w:rsidRDefault="002F0E14" w:rsidP="002F0E14">
      <w:pPr>
        <w:pStyle w:val="Normal1"/>
        <w:widowControl w:val="0"/>
        <w:rPr>
          <w:color w:val="auto"/>
        </w:rPr>
      </w:pPr>
      <w:r w:rsidRPr="00627F74">
        <w:rPr>
          <w:color w:val="auto"/>
        </w:rPr>
        <w:lastRenderedPageBreak/>
        <w:t xml:space="preserve">“Trademark Record” means a complete and correct set of information concerning a trademark or other mark submitted to the Trademark Clearinghouse. </w:t>
      </w:r>
    </w:p>
    <w:p w14:paraId="22A7B258" w14:textId="77777777" w:rsidR="002F0E14" w:rsidRPr="00627F74" w:rsidRDefault="002F0E14" w:rsidP="002F0E14">
      <w:pPr>
        <w:pStyle w:val="Normal1"/>
        <w:widowControl w:val="0"/>
        <w:rPr>
          <w:color w:val="auto"/>
        </w:rPr>
      </w:pPr>
    </w:p>
    <w:p w14:paraId="16718F2C" w14:textId="77777777" w:rsidR="002F0E14" w:rsidRPr="00627F74" w:rsidRDefault="002F0E14" w:rsidP="002F0E14">
      <w:pPr>
        <w:pStyle w:val="Normal1"/>
        <w:widowControl w:val="0"/>
        <w:rPr>
          <w:color w:val="auto"/>
        </w:rPr>
      </w:pPr>
      <w:r w:rsidRPr="00627F74">
        <w:rPr>
          <w:color w:val="auto"/>
        </w:rPr>
        <w:t xml:space="preserve">“Validated Mark” means a mark that has been verified by the TMCH Sunrise and Claims Operation as meeting the requirements specified in the Trademark Clearinghouse Guidelines including those relating to proof of use. </w:t>
      </w:r>
    </w:p>
    <w:p w14:paraId="1D8E3D1D" w14:textId="77777777" w:rsidR="002F0E14" w:rsidRPr="00627F74" w:rsidRDefault="002F0E14" w:rsidP="002F0E14">
      <w:pPr>
        <w:pStyle w:val="Normal1"/>
        <w:widowControl w:val="0"/>
        <w:rPr>
          <w:color w:val="auto"/>
        </w:rPr>
      </w:pPr>
    </w:p>
    <w:p w14:paraId="74CB48DD" w14:textId="77777777" w:rsidR="002F0E14" w:rsidRPr="00627F74" w:rsidRDefault="002F0E14" w:rsidP="002F0E14">
      <w:pPr>
        <w:pStyle w:val="Normal1"/>
        <w:widowControl w:val="0"/>
        <w:rPr>
          <w:color w:val="auto"/>
        </w:rPr>
      </w:pPr>
      <w:r w:rsidRPr="00627F74">
        <w:rPr>
          <w:color w:val="auto"/>
        </w:rPr>
        <w:t>“We,” “us” and “our” means XYZ.COM LLC, the Registry Operator of the TLD.</w:t>
      </w:r>
    </w:p>
    <w:p w14:paraId="49537A95" w14:textId="77777777" w:rsidR="002F0E14" w:rsidRPr="00627F74" w:rsidRDefault="002F0E14" w:rsidP="001523A8">
      <w:pPr>
        <w:pStyle w:val="Normal1"/>
        <w:widowControl w:val="0"/>
        <w:rPr>
          <w:color w:val="auto"/>
        </w:rPr>
      </w:pPr>
    </w:p>
    <w:sectPr w:rsidR="002F0E14" w:rsidRPr="00627F74" w:rsidSect="006A25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D187" w14:textId="77777777" w:rsidR="00FC4B3E" w:rsidRDefault="00FC4B3E">
      <w:r>
        <w:separator/>
      </w:r>
    </w:p>
  </w:endnote>
  <w:endnote w:type="continuationSeparator" w:id="0">
    <w:p w14:paraId="761F0BBC" w14:textId="77777777" w:rsidR="00FC4B3E" w:rsidRDefault="00FC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B2D9" w14:textId="77777777" w:rsidR="00573B15" w:rsidRDefault="00573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0F37" w14:textId="712A4264" w:rsidR="00C62C8D" w:rsidRDefault="00C62C8D">
    <w:pPr>
      <w:pStyle w:val="Normal1"/>
      <w:jc w:val="right"/>
    </w:pPr>
    <w:r>
      <w:fldChar w:fldCharType="begin"/>
    </w:r>
    <w:r>
      <w:instrText>PAGE</w:instrText>
    </w:r>
    <w:r>
      <w:fldChar w:fldCharType="separate"/>
    </w:r>
    <w:r w:rsidR="00EF11BE">
      <w:rPr>
        <w:noProof/>
      </w:rPr>
      <w:t>2</w:t>
    </w:r>
    <w:r>
      <w:fldChar w:fldCharType="end"/>
    </w:r>
  </w:p>
  <w:p w14:paraId="35C90F47" w14:textId="77777777" w:rsidR="00C62C8D" w:rsidRDefault="00C62C8D" w:rsidP="00B350DB">
    <w:pPr>
      <w:pStyle w:val="Normal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A4C8" w14:textId="77777777" w:rsidR="00573B15" w:rsidRDefault="00573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5D06" w14:textId="77777777" w:rsidR="00FC4B3E" w:rsidRDefault="00FC4B3E">
      <w:r>
        <w:separator/>
      </w:r>
    </w:p>
  </w:footnote>
  <w:footnote w:type="continuationSeparator" w:id="0">
    <w:p w14:paraId="1C57EBC2" w14:textId="77777777" w:rsidR="00FC4B3E" w:rsidRDefault="00FC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62C3" w14:textId="77777777" w:rsidR="00573B15" w:rsidRDefault="0057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9CF8" w14:textId="228A8066" w:rsidR="00C62C8D" w:rsidRDefault="00C62C8D">
    <w:pPr>
      <w:pStyle w:val="Header"/>
    </w:pPr>
  </w:p>
  <w:p w14:paraId="0CF49AB3" w14:textId="77777777" w:rsidR="00C62C8D" w:rsidRDefault="00C62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132F" w14:textId="77777777" w:rsidR="00573B15" w:rsidRDefault="0057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FA7"/>
    <w:multiLevelType w:val="multilevel"/>
    <w:tmpl w:val="2CB698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5EE3701"/>
    <w:multiLevelType w:val="multilevel"/>
    <w:tmpl w:val="E292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ACD0D27"/>
    <w:multiLevelType w:val="multilevel"/>
    <w:tmpl w:val="A2CA9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354AF0"/>
    <w:multiLevelType w:val="hybridMultilevel"/>
    <w:tmpl w:val="6ACEE066"/>
    <w:lvl w:ilvl="0" w:tplc="D0283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F1D92"/>
    <w:multiLevelType w:val="multilevel"/>
    <w:tmpl w:val="643CD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A625045"/>
    <w:multiLevelType w:val="multilevel"/>
    <w:tmpl w:val="4EFC6B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40FA7A65"/>
    <w:multiLevelType w:val="multilevel"/>
    <w:tmpl w:val="A12EEB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4D4290C"/>
    <w:multiLevelType w:val="multilevel"/>
    <w:tmpl w:val="B7667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C342CC7"/>
    <w:multiLevelType w:val="multilevel"/>
    <w:tmpl w:val="150CE5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F873613"/>
    <w:multiLevelType w:val="multilevel"/>
    <w:tmpl w:val="61624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E71726E"/>
    <w:multiLevelType w:val="multilevel"/>
    <w:tmpl w:val="4D0AFD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F940E34"/>
    <w:multiLevelType w:val="multilevel"/>
    <w:tmpl w:val="49861B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E04ADE"/>
    <w:multiLevelType w:val="multilevel"/>
    <w:tmpl w:val="FA8EB2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F73695B"/>
    <w:multiLevelType w:val="hybridMultilevel"/>
    <w:tmpl w:val="1208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47A69"/>
    <w:multiLevelType w:val="multilevel"/>
    <w:tmpl w:val="C5BC6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36C546E"/>
    <w:multiLevelType w:val="multilevel"/>
    <w:tmpl w:val="B4ACDE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738E6543"/>
    <w:multiLevelType w:val="hybridMultilevel"/>
    <w:tmpl w:val="0262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6403C"/>
    <w:multiLevelType w:val="multilevel"/>
    <w:tmpl w:val="009817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8"/>
  </w:num>
  <w:num w:numId="3">
    <w:abstractNumId w:val="11"/>
  </w:num>
  <w:num w:numId="4">
    <w:abstractNumId w:val="0"/>
  </w:num>
  <w:num w:numId="5">
    <w:abstractNumId w:val="7"/>
  </w:num>
  <w:num w:numId="6">
    <w:abstractNumId w:val="2"/>
  </w:num>
  <w:num w:numId="7">
    <w:abstractNumId w:val="9"/>
  </w:num>
  <w:num w:numId="8">
    <w:abstractNumId w:val="10"/>
  </w:num>
  <w:num w:numId="9">
    <w:abstractNumId w:val="15"/>
  </w:num>
  <w:num w:numId="10">
    <w:abstractNumId w:val="13"/>
  </w:num>
  <w:num w:numId="11">
    <w:abstractNumId w:val="18"/>
  </w:num>
  <w:num w:numId="12">
    <w:abstractNumId w:val="16"/>
  </w:num>
  <w:num w:numId="13">
    <w:abstractNumId w:val="4"/>
  </w:num>
  <w:num w:numId="14">
    <w:abstractNumId w:val="1"/>
  </w:num>
  <w:num w:numId="15">
    <w:abstractNumId w:val="5"/>
  </w:num>
  <w:num w:numId="16">
    <w:abstractNumId w:val="14"/>
  </w:num>
  <w:num w:numId="17">
    <w:abstractNumId w:val="12"/>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AC"/>
    <w:rsid w:val="0000792B"/>
    <w:rsid w:val="00013652"/>
    <w:rsid w:val="00016E59"/>
    <w:rsid w:val="00021525"/>
    <w:rsid w:val="0003351A"/>
    <w:rsid w:val="0004640D"/>
    <w:rsid w:val="00055D89"/>
    <w:rsid w:val="00060ECD"/>
    <w:rsid w:val="0006210A"/>
    <w:rsid w:val="000746EF"/>
    <w:rsid w:val="000770BF"/>
    <w:rsid w:val="000832F7"/>
    <w:rsid w:val="0009325C"/>
    <w:rsid w:val="000950CF"/>
    <w:rsid w:val="000B789C"/>
    <w:rsid w:val="000C5E65"/>
    <w:rsid w:val="000D6758"/>
    <w:rsid w:val="000E219B"/>
    <w:rsid w:val="000E5DA1"/>
    <w:rsid w:val="000E73A1"/>
    <w:rsid w:val="000F292D"/>
    <w:rsid w:val="0010724D"/>
    <w:rsid w:val="00107911"/>
    <w:rsid w:val="00123331"/>
    <w:rsid w:val="001261B0"/>
    <w:rsid w:val="001307BA"/>
    <w:rsid w:val="00130FE8"/>
    <w:rsid w:val="00131609"/>
    <w:rsid w:val="00136E4A"/>
    <w:rsid w:val="0014741B"/>
    <w:rsid w:val="00151715"/>
    <w:rsid w:val="001523A8"/>
    <w:rsid w:val="0017305E"/>
    <w:rsid w:val="00184A2D"/>
    <w:rsid w:val="00190E9E"/>
    <w:rsid w:val="001F7120"/>
    <w:rsid w:val="001F7B3E"/>
    <w:rsid w:val="001F7BF5"/>
    <w:rsid w:val="00207056"/>
    <w:rsid w:val="00210CFC"/>
    <w:rsid w:val="002123F5"/>
    <w:rsid w:val="002128FB"/>
    <w:rsid w:val="00213F13"/>
    <w:rsid w:val="00223AFA"/>
    <w:rsid w:val="00232FA3"/>
    <w:rsid w:val="00244CA8"/>
    <w:rsid w:val="00264A20"/>
    <w:rsid w:val="002659D9"/>
    <w:rsid w:val="00297179"/>
    <w:rsid w:val="002A787F"/>
    <w:rsid w:val="002C123A"/>
    <w:rsid w:val="002C79DD"/>
    <w:rsid w:val="002D673F"/>
    <w:rsid w:val="002D7EC9"/>
    <w:rsid w:val="002E18D6"/>
    <w:rsid w:val="002E40A7"/>
    <w:rsid w:val="002F0E14"/>
    <w:rsid w:val="002F436E"/>
    <w:rsid w:val="003061FE"/>
    <w:rsid w:val="00307516"/>
    <w:rsid w:val="00314A7C"/>
    <w:rsid w:val="00316297"/>
    <w:rsid w:val="00325D72"/>
    <w:rsid w:val="00332C62"/>
    <w:rsid w:val="00334ECA"/>
    <w:rsid w:val="00341647"/>
    <w:rsid w:val="003452E6"/>
    <w:rsid w:val="00354CA0"/>
    <w:rsid w:val="0036148A"/>
    <w:rsid w:val="00362C55"/>
    <w:rsid w:val="003770A0"/>
    <w:rsid w:val="0038231A"/>
    <w:rsid w:val="003859A7"/>
    <w:rsid w:val="003A0768"/>
    <w:rsid w:val="003A44A1"/>
    <w:rsid w:val="003A6534"/>
    <w:rsid w:val="003D3807"/>
    <w:rsid w:val="003F180B"/>
    <w:rsid w:val="003F54C1"/>
    <w:rsid w:val="0041635E"/>
    <w:rsid w:val="00427CCE"/>
    <w:rsid w:val="00432ED8"/>
    <w:rsid w:val="004422BB"/>
    <w:rsid w:val="00462AEA"/>
    <w:rsid w:val="00474713"/>
    <w:rsid w:val="0047725D"/>
    <w:rsid w:val="00486DE2"/>
    <w:rsid w:val="004A6D68"/>
    <w:rsid w:val="004B1CEE"/>
    <w:rsid w:val="004B4759"/>
    <w:rsid w:val="004C3A33"/>
    <w:rsid w:val="004F28FD"/>
    <w:rsid w:val="00517BD7"/>
    <w:rsid w:val="005243A1"/>
    <w:rsid w:val="00524F24"/>
    <w:rsid w:val="00537AF2"/>
    <w:rsid w:val="005419C3"/>
    <w:rsid w:val="0054276C"/>
    <w:rsid w:val="005505D1"/>
    <w:rsid w:val="00561E0B"/>
    <w:rsid w:val="00566DEE"/>
    <w:rsid w:val="00573B15"/>
    <w:rsid w:val="00574D3F"/>
    <w:rsid w:val="00575F29"/>
    <w:rsid w:val="0058412B"/>
    <w:rsid w:val="00595909"/>
    <w:rsid w:val="005A63ED"/>
    <w:rsid w:val="005A725F"/>
    <w:rsid w:val="005C202C"/>
    <w:rsid w:val="005C2F6A"/>
    <w:rsid w:val="005C540E"/>
    <w:rsid w:val="005C74D2"/>
    <w:rsid w:val="005D4EE3"/>
    <w:rsid w:val="005E0538"/>
    <w:rsid w:val="005E5657"/>
    <w:rsid w:val="005E698E"/>
    <w:rsid w:val="005F3138"/>
    <w:rsid w:val="005F3317"/>
    <w:rsid w:val="005F7B72"/>
    <w:rsid w:val="00603541"/>
    <w:rsid w:val="00603A70"/>
    <w:rsid w:val="00607750"/>
    <w:rsid w:val="006212D0"/>
    <w:rsid w:val="00623EF2"/>
    <w:rsid w:val="00627F74"/>
    <w:rsid w:val="00642D8E"/>
    <w:rsid w:val="006650F1"/>
    <w:rsid w:val="006657F4"/>
    <w:rsid w:val="00670150"/>
    <w:rsid w:val="00674A49"/>
    <w:rsid w:val="006768FB"/>
    <w:rsid w:val="00691595"/>
    <w:rsid w:val="006915E8"/>
    <w:rsid w:val="00692BAD"/>
    <w:rsid w:val="006A1EC8"/>
    <w:rsid w:val="006A2588"/>
    <w:rsid w:val="006A7D10"/>
    <w:rsid w:val="006B60B5"/>
    <w:rsid w:val="006D26B9"/>
    <w:rsid w:val="006D5A9C"/>
    <w:rsid w:val="006E2540"/>
    <w:rsid w:val="006E5BCB"/>
    <w:rsid w:val="006F0CE3"/>
    <w:rsid w:val="006F38B0"/>
    <w:rsid w:val="00703C28"/>
    <w:rsid w:val="00712802"/>
    <w:rsid w:val="00714122"/>
    <w:rsid w:val="0073221F"/>
    <w:rsid w:val="00732F5B"/>
    <w:rsid w:val="007468BD"/>
    <w:rsid w:val="007475A1"/>
    <w:rsid w:val="00753E30"/>
    <w:rsid w:val="00765224"/>
    <w:rsid w:val="00766330"/>
    <w:rsid w:val="00786669"/>
    <w:rsid w:val="00786ED3"/>
    <w:rsid w:val="00797091"/>
    <w:rsid w:val="007B141E"/>
    <w:rsid w:val="007C0E5D"/>
    <w:rsid w:val="007C1D97"/>
    <w:rsid w:val="007C3EBA"/>
    <w:rsid w:val="007C685F"/>
    <w:rsid w:val="007D0EBE"/>
    <w:rsid w:val="007D3FD8"/>
    <w:rsid w:val="007D57AF"/>
    <w:rsid w:val="007D6630"/>
    <w:rsid w:val="007E6822"/>
    <w:rsid w:val="007F72B9"/>
    <w:rsid w:val="00805156"/>
    <w:rsid w:val="00807514"/>
    <w:rsid w:val="0081411E"/>
    <w:rsid w:val="008146EE"/>
    <w:rsid w:val="0082439E"/>
    <w:rsid w:val="00824BAF"/>
    <w:rsid w:val="00836485"/>
    <w:rsid w:val="00845C2D"/>
    <w:rsid w:val="00851BA9"/>
    <w:rsid w:val="00854857"/>
    <w:rsid w:val="00870B80"/>
    <w:rsid w:val="00871A4B"/>
    <w:rsid w:val="00880FE3"/>
    <w:rsid w:val="008843D5"/>
    <w:rsid w:val="008A20A8"/>
    <w:rsid w:val="008B0CF9"/>
    <w:rsid w:val="008D4317"/>
    <w:rsid w:val="008E41FC"/>
    <w:rsid w:val="008E745A"/>
    <w:rsid w:val="008E748C"/>
    <w:rsid w:val="008F4B82"/>
    <w:rsid w:val="00901448"/>
    <w:rsid w:val="00905781"/>
    <w:rsid w:val="00905B7A"/>
    <w:rsid w:val="0092639B"/>
    <w:rsid w:val="00930E70"/>
    <w:rsid w:val="00945654"/>
    <w:rsid w:val="0094709C"/>
    <w:rsid w:val="00954BFD"/>
    <w:rsid w:val="00955F29"/>
    <w:rsid w:val="00960F05"/>
    <w:rsid w:val="009627A7"/>
    <w:rsid w:val="00975ADA"/>
    <w:rsid w:val="00980AFA"/>
    <w:rsid w:val="009A1670"/>
    <w:rsid w:val="009A1D31"/>
    <w:rsid w:val="009B24A7"/>
    <w:rsid w:val="009C5EF2"/>
    <w:rsid w:val="00A02347"/>
    <w:rsid w:val="00A30CAE"/>
    <w:rsid w:val="00A34408"/>
    <w:rsid w:val="00A40BAB"/>
    <w:rsid w:val="00A474C2"/>
    <w:rsid w:val="00A546AD"/>
    <w:rsid w:val="00A63A77"/>
    <w:rsid w:val="00A649B0"/>
    <w:rsid w:val="00A779EA"/>
    <w:rsid w:val="00A804E9"/>
    <w:rsid w:val="00A812D7"/>
    <w:rsid w:val="00A82B04"/>
    <w:rsid w:val="00A86782"/>
    <w:rsid w:val="00A925BF"/>
    <w:rsid w:val="00A96AF0"/>
    <w:rsid w:val="00AC26E0"/>
    <w:rsid w:val="00AC372B"/>
    <w:rsid w:val="00AC5623"/>
    <w:rsid w:val="00AC5B6C"/>
    <w:rsid w:val="00AE6FB4"/>
    <w:rsid w:val="00B130D7"/>
    <w:rsid w:val="00B15201"/>
    <w:rsid w:val="00B217A8"/>
    <w:rsid w:val="00B350DB"/>
    <w:rsid w:val="00B35634"/>
    <w:rsid w:val="00B446AF"/>
    <w:rsid w:val="00B447FC"/>
    <w:rsid w:val="00B50064"/>
    <w:rsid w:val="00B62820"/>
    <w:rsid w:val="00B63893"/>
    <w:rsid w:val="00B656AB"/>
    <w:rsid w:val="00B7115F"/>
    <w:rsid w:val="00B713D6"/>
    <w:rsid w:val="00B77B59"/>
    <w:rsid w:val="00B820CA"/>
    <w:rsid w:val="00B91014"/>
    <w:rsid w:val="00BA2BF0"/>
    <w:rsid w:val="00BB72F2"/>
    <w:rsid w:val="00BD005E"/>
    <w:rsid w:val="00BD0BEF"/>
    <w:rsid w:val="00BE201B"/>
    <w:rsid w:val="00BE21FF"/>
    <w:rsid w:val="00BE45FC"/>
    <w:rsid w:val="00BF4CE8"/>
    <w:rsid w:val="00C01433"/>
    <w:rsid w:val="00C04379"/>
    <w:rsid w:val="00C15096"/>
    <w:rsid w:val="00C15180"/>
    <w:rsid w:val="00C15D00"/>
    <w:rsid w:val="00C27B05"/>
    <w:rsid w:val="00C32EF2"/>
    <w:rsid w:val="00C62C8D"/>
    <w:rsid w:val="00C6627E"/>
    <w:rsid w:val="00C96A5A"/>
    <w:rsid w:val="00C978A9"/>
    <w:rsid w:val="00CA1739"/>
    <w:rsid w:val="00CA7AD7"/>
    <w:rsid w:val="00CB46B6"/>
    <w:rsid w:val="00CE4C28"/>
    <w:rsid w:val="00CE519A"/>
    <w:rsid w:val="00D05FFD"/>
    <w:rsid w:val="00D115CE"/>
    <w:rsid w:val="00D13CF4"/>
    <w:rsid w:val="00D423AA"/>
    <w:rsid w:val="00D60867"/>
    <w:rsid w:val="00D805CC"/>
    <w:rsid w:val="00D94741"/>
    <w:rsid w:val="00DA7833"/>
    <w:rsid w:val="00DB5BB0"/>
    <w:rsid w:val="00DB62F8"/>
    <w:rsid w:val="00DC1369"/>
    <w:rsid w:val="00DC6AC2"/>
    <w:rsid w:val="00DF01D3"/>
    <w:rsid w:val="00E01F0D"/>
    <w:rsid w:val="00E038E1"/>
    <w:rsid w:val="00E04EAC"/>
    <w:rsid w:val="00E23006"/>
    <w:rsid w:val="00E25921"/>
    <w:rsid w:val="00E3007B"/>
    <w:rsid w:val="00E328B4"/>
    <w:rsid w:val="00E43E34"/>
    <w:rsid w:val="00E45CFB"/>
    <w:rsid w:val="00E53A67"/>
    <w:rsid w:val="00E55E58"/>
    <w:rsid w:val="00E55F40"/>
    <w:rsid w:val="00E65758"/>
    <w:rsid w:val="00E85DB9"/>
    <w:rsid w:val="00E958BB"/>
    <w:rsid w:val="00EB1C6F"/>
    <w:rsid w:val="00EB21F9"/>
    <w:rsid w:val="00EC4689"/>
    <w:rsid w:val="00ED0829"/>
    <w:rsid w:val="00ED18FF"/>
    <w:rsid w:val="00ED2A16"/>
    <w:rsid w:val="00ED3305"/>
    <w:rsid w:val="00EF11BE"/>
    <w:rsid w:val="00F119AB"/>
    <w:rsid w:val="00F223EC"/>
    <w:rsid w:val="00F30AFB"/>
    <w:rsid w:val="00F51E70"/>
    <w:rsid w:val="00F52802"/>
    <w:rsid w:val="00F57A08"/>
    <w:rsid w:val="00F7375B"/>
    <w:rsid w:val="00F74BC0"/>
    <w:rsid w:val="00F8531F"/>
    <w:rsid w:val="00FA40E3"/>
    <w:rsid w:val="00FA4FD0"/>
    <w:rsid w:val="00FA6B9A"/>
    <w:rsid w:val="00FB62F5"/>
    <w:rsid w:val="00FC0185"/>
    <w:rsid w:val="00FC3E19"/>
    <w:rsid w:val="00FC4B3E"/>
    <w:rsid w:val="00FD4DA5"/>
    <w:rsid w:val="00FE666B"/>
    <w:rsid w:val="00FF238D"/>
    <w:rsid w:val="00FF4F1D"/>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6C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widowControl w:val="0"/>
      <w:spacing w:before="200"/>
      <w:contextualSpacing/>
      <w:outlineLvl w:val="0"/>
    </w:pPr>
    <w:rPr>
      <w:rFonts w:ascii="Trebuchet MS" w:eastAsia="Trebuchet MS" w:hAnsi="Trebuchet MS" w:cs="Trebuchet MS"/>
      <w:color w:val="4A1955"/>
      <w:sz w:val="32"/>
    </w:rPr>
  </w:style>
  <w:style w:type="paragraph" w:styleId="Heading2">
    <w:name w:val="heading 2"/>
    <w:basedOn w:val="Normal1"/>
    <w:next w:val="Normal1"/>
    <w:pPr>
      <w:keepNext/>
      <w:keepLines/>
      <w:widowControl w:val="0"/>
      <w:spacing w:before="200"/>
      <w:contextualSpacing/>
      <w:outlineLvl w:val="1"/>
    </w:pPr>
    <w:rPr>
      <w:rFonts w:ascii="Trebuchet MS" w:eastAsia="Trebuchet MS" w:hAnsi="Trebuchet MS" w:cs="Trebuchet MS"/>
      <w:b/>
      <w:color w:val="4A1955"/>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25D72"/>
    <w:rPr>
      <w:rFonts w:ascii="Lucida Grande" w:hAnsi="Lucida Grande"/>
      <w:sz w:val="18"/>
      <w:szCs w:val="18"/>
    </w:rPr>
  </w:style>
  <w:style w:type="character" w:customStyle="1" w:styleId="BalloonTextChar">
    <w:name w:val="Balloon Text Char"/>
    <w:basedOn w:val="DefaultParagraphFont"/>
    <w:link w:val="BalloonText"/>
    <w:uiPriority w:val="99"/>
    <w:semiHidden/>
    <w:rsid w:val="00325D72"/>
    <w:rPr>
      <w:rFonts w:ascii="Lucida Grande" w:hAnsi="Lucida Grande"/>
      <w:sz w:val="18"/>
      <w:szCs w:val="18"/>
    </w:rPr>
  </w:style>
  <w:style w:type="paragraph" w:styleId="Header">
    <w:name w:val="header"/>
    <w:basedOn w:val="Normal"/>
    <w:link w:val="HeaderChar"/>
    <w:uiPriority w:val="99"/>
    <w:unhideWhenUsed/>
    <w:rsid w:val="00325D72"/>
    <w:pPr>
      <w:tabs>
        <w:tab w:val="center" w:pos="4320"/>
        <w:tab w:val="right" w:pos="8640"/>
      </w:tabs>
    </w:pPr>
  </w:style>
  <w:style w:type="character" w:customStyle="1" w:styleId="HeaderChar">
    <w:name w:val="Header Char"/>
    <w:basedOn w:val="DefaultParagraphFont"/>
    <w:link w:val="Header"/>
    <w:uiPriority w:val="99"/>
    <w:rsid w:val="00325D72"/>
  </w:style>
  <w:style w:type="paragraph" w:styleId="Footer">
    <w:name w:val="footer"/>
    <w:basedOn w:val="Normal"/>
    <w:link w:val="FooterChar"/>
    <w:uiPriority w:val="99"/>
    <w:unhideWhenUsed/>
    <w:rsid w:val="00325D72"/>
    <w:pPr>
      <w:tabs>
        <w:tab w:val="center" w:pos="4320"/>
        <w:tab w:val="right" w:pos="8640"/>
      </w:tabs>
    </w:pPr>
  </w:style>
  <w:style w:type="character" w:customStyle="1" w:styleId="FooterChar">
    <w:name w:val="Footer Char"/>
    <w:basedOn w:val="DefaultParagraphFont"/>
    <w:link w:val="Footer"/>
    <w:uiPriority w:val="99"/>
    <w:rsid w:val="00325D72"/>
  </w:style>
  <w:style w:type="paragraph" w:styleId="Revision">
    <w:name w:val="Revision"/>
    <w:hidden/>
    <w:uiPriority w:val="99"/>
    <w:semiHidden/>
    <w:rsid w:val="00A474C2"/>
  </w:style>
  <w:style w:type="character" w:styleId="CommentReference">
    <w:name w:val="annotation reference"/>
    <w:basedOn w:val="DefaultParagraphFont"/>
    <w:uiPriority w:val="99"/>
    <w:semiHidden/>
    <w:unhideWhenUsed/>
    <w:rsid w:val="00B7115F"/>
    <w:rPr>
      <w:sz w:val="18"/>
      <w:szCs w:val="18"/>
    </w:rPr>
  </w:style>
  <w:style w:type="paragraph" w:styleId="CommentText">
    <w:name w:val="annotation text"/>
    <w:basedOn w:val="Normal"/>
    <w:link w:val="CommentTextChar"/>
    <w:uiPriority w:val="99"/>
    <w:semiHidden/>
    <w:unhideWhenUsed/>
    <w:rsid w:val="00B7115F"/>
  </w:style>
  <w:style w:type="character" w:customStyle="1" w:styleId="CommentTextChar">
    <w:name w:val="Comment Text Char"/>
    <w:basedOn w:val="DefaultParagraphFont"/>
    <w:link w:val="CommentText"/>
    <w:uiPriority w:val="99"/>
    <w:semiHidden/>
    <w:rsid w:val="00B7115F"/>
  </w:style>
  <w:style w:type="paragraph" w:styleId="CommentSubject">
    <w:name w:val="annotation subject"/>
    <w:basedOn w:val="CommentText"/>
    <w:next w:val="CommentText"/>
    <w:link w:val="CommentSubjectChar"/>
    <w:uiPriority w:val="99"/>
    <w:semiHidden/>
    <w:unhideWhenUsed/>
    <w:rsid w:val="00B7115F"/>
    <w:rPr>
      <w:b/>
      <w:bCs/>
      <w:sz w:val="20"/>
      <w:szCs w:val="20"/>
    </w:rPr>
  </w:style>
  <w:style w:type="character" w:customStyle="1" w:styleId="CommentSubjectChar">
    <w:name w:val="Comment Subject Char"/>
    <w:basedOn w:val="CommentTextChar"/>
    <w:link w:val="CommentSubject"/>
    <w:uiPriority w:val="99"/>
    <w:semiHidden/>
    <w:rsid w:val="00B7115F"/>
    <w:rPr>
      <w:b/>
      <w:bCs/>
      <w:sz w:val="20"/>
      <w:szCs w:val="20"/>
    </w:rPr>
  </w:style>
  <w:style w:type="paragraph" w:styleId="ListParagraph">
    <w:name w:val="List Paragraph"/>
    <w:basedOn w:val="Normal"/>
    <w:uiPriority w:val="34"/>
    <w:qFormat/>
    <w:rsid w:val="002D7EC9"/>
    <w:pPr>
      <w:spacing w:after="200"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2D7EC9"/>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D7EC9"/>
    <w:rPr>
      <w:rFonts w:eastAsiaTheme="minorHAnsi"/>
      <w:sz w:val="20"/>
      <w:szCs w:val="20"/>
      <w:lang w:eastAsia="en-US"/>
    </w:rPr>
  </w:style>
  <w:style w:type="character" w:styleId="FootnoteReference">
    <w:name w:val="footnote reference"/>
    <w:basedOn w:val="DefaultParagraphFont"/>
    <w:uiPriority w:val="99"/>
    <w:semiHidden/>
    <w:unhideWhenUsed/>
    <w:rsid w:val="002D7EC9"/>
    <w:rPr>
      <w:vertAlign w:val="superscript"/>
    </w:rPr>
  </w:style>
  <w:style w:type="character" w:styleId="Hyperlink">
    <w:name w:val="Hyperlink"/>
    <w:basedOn w:val="DefaultParagraphFont"/>
    <w:uiPriority w:val="99"/>
    <w:unhideWhenUsed/>
    <w:rsid w:val="009A1D31"/>
    <w:rPr>
      <w:color w:val="0000FF" w:themeColor="hyperlink"/>
      <w:u w:val="single"/>
    </w:rPr>
  </w:style>
  <w:style w:type="character" w:styleId="Mention">
    <w:name w:val="Mention"/>
    <w:basedOn w:val="DefaultParagraphFont"/>
    <w:uiPriority w:val="99"/>
    <w:semiHidden/>
    <w:unhideWhenUsed/>
    <w:rsid w:val="009627A7"/>
    <w:rPr>
      <w:color w:val="2B579A"/>
      <w:shd w:val="clear" w:color="auto" w:fill="E6E6E6"/>
    </w:rPr>
  </w:style>
  <w:style w:type="paragraph" w:styleId="TOCHeading">
    <w:name w:val="TOC Heading"/>
    <w:basedOn w:val="Heading1"/>
    <w:next w:val="Normal"/>
    <w:uiPriority w:val="39"/>
    <w:unhideWhenUsed/>
    <w:qFormat/>
    <w:rsid w:val="002F0E14"/>
    <w:pPr>
      <w:widowControl/>
      <w:spacing w:before="240" w:line="259" w:lineRule="auto"/>
      <w:contextualSpacing w:val="0"/>
      <w:outlineLvl w:val="9"/>
    </w:pPr>
    <w:rPr>
      <w:rFonts w:asciiTheme="majorHAnsi" w:eastAsiaTheme="majorEastAsia" w:hAnsiTheme="majorHAnsi" w:cstheme="majorBidi"/>
      <w:color w:val="365F91" w:themeColor="accent1" w:themeShade="BF"/>
      <w:szCs w:val="32"/>
      <w:lang w:eastAsia="en-US"/>
    </w:rPr>
  </w:style>
  <w:style w:type="paragraph" w:styleId="TOC1">
    <w:name w:val="toc 1"/>
    <w:basedOn w:val="Normal"/>
    <w:next w:val="Normal"/>
    <w:autoRedefine/>
    <w:uiPriority w:val="39"/>
    <w:unhideWhenUsed/>
    <w:rsid w:val="002F0E14"/>
    <w:pPr>
      <w:spacing w:after="100"/>
    </w:pPr>
  </w:style>
  <w:style w:type="paragraph" w:styleId="TOC2">
    <w:name w:val="toc 2"/>
    <w:basedOn w:val="Normal"/>
    <w:next w:val="Normal"/>
    <w:autoRedefine/>
    <w:uiPriority w:val="39"/>
    <w:unhideWhenUsed/>
    <w:rsid w:val="002F0E14"/>
    <w:pPr>
      <w:spacing w:after="100"/>
      <w:ind w:left="240"/>
    </w:pPr>
  </w:style>
  <w:style w:type="character" w:styleId="UnresolvedMention">
    <w:name w:val="Unresolved Mention"/>
    <w:basedOn w:val="DefaultParagraphFont"/>
    <w:uiPriority w:val="99"/>
    <w:semiHidden/>
    <w:unhideWhenUsed/>
    <w:rsid w:val="00B44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513500">
      <w:bodyDiv w:val="1"/>
      <w:marLeft w:val="0"/>
      <w:marRight w:val="0"/>
      <w:marTop w:val="0"/>
      <w:marBottom w:val="0"/>
      <w:divBdr>
        <w:top w:val="none" w:sz="0" w:space="0" w:color="auto"/>
        <w:left w:val="none" w:sz="0" w:space="0" w:color="auto"/>
        <w:bottom w:val="none" w:sz="0" w:space="0" w:color="auto"/>
        <w:right w:val="none" w:sz="0" w:space="0" w:color="auto"/>
      </w:divBdr>
    </w:div>
    <w:div w:id="113653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E08B-1552-46BA-9217-DC267CA6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2019-01-25T22:22:00Z</dcterms:created>
  <dcterms:modified xsi:type="dcterms:W3CDTF">2020-11-04T21:11:00Z</dcterms:modified>
</cp:coreProperties>
</file>