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F8" w:rsidRPr="00A404F8" w:rsidRDefault="00137527" w:rsidP="00A404F8">
      <w:pPr>
        <w:rPr>
          <w:b/>
        </w:rPr>
      </w:pPr>
      <w:r>
        <w:rPr>
          <w:b/>
        </w:rPr>
        <w:t>.MED</w:t>
      </w:r>
      <w:r w:rsidR="00A404F8" w:rsidRPr="00A404F8">
        <w:rPr>
          <w:b/>
        </w:rPr>
        <w:t xml:space="preserve"> Sunrise Policy</w:t>
      </w:r>
    </w:p>
    <w:p w:rsidR="00A404F8" w:rsidRPr="001133E0" w:rsidRDefault="00A404F8" w:rsidP="00A404F8">
      <w:r w:rsidRPr="001133E0">
        <w:t xml:space="preserve">Details about ICANN’s requirements for Rights Protection Mechanisms can be </w:t>
      </w:r>
      <w:r>
        <w:t xml:space="preserve">found on the </w:t>
      </w:r>
      <w:r w:rsidRPr="001133E0">
        <w:t>ICANN website at the following link</w:t>
      </w:r>
      <w:r w:rsidR="00B653DD">
        <w:t xml:space="preserve"> </w:t>
      </w:r>
      <w:hyperlink r:id="rId6" w:history="1">
        <w:r w:rsidR="00B653DD" w:rsidRPr="00E83A20">
          <w:rPr>
            <w:rStyle w:val="Hyperlink"/>
          </w:rPr>
          <w:t>http://newgtlds.icann.org/en/about/trademark-clearinghouse</w:t>
        </w:r>
      </w:hyperlink>
      <w:r w:rsidRPr="001133E0">
        <w:t>.</w:t>
      </w:r>
      <w:r w:rsidR="00B653DD">
        <w:t xml:space="preserve"> </w:t>
      </w:r>
    </w:p>
    <w:p w:rsidR="00A404F8" w:rsidRPr="001133E0" w:rsidRDefault="00A404F8" w:rsidP="00A404F8">
      <w:pPr>
        <w:rPr>
          <w:b/>
          <w:bCs/>
        </w:rPr>
      </w:pPr>
      <w:r w:rsidRPr="001133E0">
        <w:rPr>
          <w:b/>
          <w:bCs/>
        </w:rPr>
        <w:t>Rights Protection Mechanisms and the Trademark Clearinghouse</w:t>
      </w:r>
    </w:p>
    <w:p w:rsidR="00A404F8" w:rsidRPr="001133E0" w:rsidRDefault="00A404F8" w:rsidP="00A404F8">
      <w:r w:rsidRPr="001133E0">
        <w:t>ICANN has established the Trademark Clearinghouse and associated processes and procedures</w:t>
      </w:r>
      <w:r>
        <w:t xml:space="preserve"> </w:t>
      </w:r>
      <w:r w:rsidRPr="001133E0">
        <w:t>so that the Registry Operator can comply with its obligation to implement Rights Protection</w:t>
      </w:r>
      <w:r>
        <w:t xml:space="preserve"> </w:t>
      </w:r>
      <w:r w:rsidRPr="001133E0">
        <w:t>Mechanisms.</w:t>
      </w:r>
    </w:p>
    <w:p w:rsidR="00A404F8" w:rsidRPr="001133E0" w:rsidRDefault="00A404F8" w:rsidP="00A404F8">
      <w:r w:rsidRPr="001133E0">
        <w:t>ICANN has appointed providers, the TMCH Sunrise and Cla</w:t>
      </w:r>
      <w:r>
        <w:t xml:space="preserve">ims Operator(s), to operate the </w:t>
      </w:r>
      <w:r w:rsidRPr="001133E0">
        <w:t xml:space="preserve">Trademark Clearinghouse. </w:t>
      </w:r>
      <w:r>
        <w:t xml:space="preserve"> </w:t>
      </w:r>
      <w:r w:rsidRPr="001133E0">
        <w:t xml:space="preserve">Registry Operator's implementation of </w:t>
      </w:r>
      <w:r>
        <w:t xml:space="preserve">the Service has been integrated </w:t>
      </w:r>
      <w:r w:rsidRPr="001133E0">
        <w:t xml:space="preserve">and tested </w:t>
      </w:r>
      <w:r>
        <w:t xml:space="preserve">by Verisign (the Back-end Registry Operator) </w:t>
      </w:r>
      <w:r w:rsidRPr="001133E0">
        <w:t xml:space="preserve">with the TMCH Sunrise and Claims Operator. </w:t>
      </w:r>
      <w:r>
        <w:t xml:space="preserve">Information about the Trademark </w:t>
      </w:r>
      <w:r w:rsidRPr="001133E0">
        <w:t>Clearinghouse and the TMCH Sunrise and Claims Operator can</w:t>
      </w:r>
      <w:r>
        <w:t xml:space="preserve"> be found at the following link </w:t>
      </w:r>
      <w:hyperlink r:id="rId7" w:history="1">
        <w:r w:rsidRPr="006C623D">
          <w:rPr>
            <w:rStyle w:val="Hyperlink"/>
          </w:rPr>
          <w:t>http://trademark-clearinghouse.com/</w:t>
        </w:r>
      </w:hyperlink>
      <w:r w:rsidRPr="001133E0">
        <w:t>.</w:t>
      </w:r>
    </w:p>
    <w:p w:rsidR="00A404F8" w:rsidRPr="001133E0" w:rsidRDefault="00A404F8" w:rsidP="00A404F8">
      <w:pPr>
        <w:rPr>
          <w:b/>
          <w:bCs/>
        </w:rPr>
      </w:pPr>
      <w:r>
        <w:rPr>
          <w:b/>
          <w:bCs/>
        </w:rPr>
        <w:t xml:space="preserve">Sunrise Policy: </w:t>
      </w:r>
      <w:r w:rsidR="00137527">
        <w:rPr>
          <w:b/>
          <w:bCs/>
        </w:rPr>
        <w:t xml:space="preserve">60 Day End </w:t>
      </w:r>
      <w:r>
        <w:rPr>
          <w:b/>
          <w:bCs/>
        </w:rPr>
        <w:t>Date Sunrise</w:t>
      </w:r>
    </w:p>
    <w:p w:rsidR="00A404F8" w:rsidRPr="008D46C6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8D46C6">
        <w:rPr>
          <w:b/>
          <w:bCs/>
        </w:rPr>
        <w:t>Scope and Timing:</w:t>
      </w:r>
    </w:p>
    <w:p w:rsidR="00E4742E" w:rsidRDefault="00EA6812" w:rsidP="00E4742E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t>The scope of this policy meet</w:t>
      </w:r>
      <w:r w:rsidR="004B0435">
        <w:t>s</w:t>
      </w:r>
      <w:r>
        <w:t xml:space="preserve"> the requirement of the exemption to Specification 9 contained in the </w:t>
      </w:r>
      <w:r w:rsidR="00137527">
        <w:t>.MED</w:t>
      </w:r>
      <w:r>
        <w:t xml:space="preserve"> Registry Agreement whereby </w:t>
      </w:r>
      <w:r w:rsidR="004B0435">
        <w:t xml:space="preserve">all domain name registrations in the TLD are registered to, and maintained by, Registry Operator for the exclusive use of Registry Operator and its Affiliates.  </w:t>
      </w:r>
      <w:r w:rsidR="00AF58A2">
        <w:t>Any p</w:t>
      </w:r>
      <w:r w:rsidR="00E4742E">
        <w:t>erson</w:t>
      </w:r>
      <w:r w:rsidR="00AF58A2">
        <w:t xml:space="preserve"> or entity with </w:t>
      </w:r>
      <w:r w:rsidR="00AE597B">
        <w:t>one or more domains</w:t>
      </w:r>
      <w:r w:rsidR="00AF58A2">
        <w:t xml:space="preserve"> in the Trademark Clearinghouse at the time of launch of the .MED Sunrise period</w:t>
      </w:r>
      <w:r w:rsidR="00FE50A9">
        <w:t xml:space="preserve"> is permitted</w:t>
      </w:r>
      <w:r w:rsidR="00AE597B">
        <w:t xml:space="preserve">, in </w:t>
      </w:r>
      <w:r w:rsidR="00AC3675">
        <w:t>Medistry’s</w:t>
      </w:r>
      <w:r w:rsidR="00AE597B">
        <w:t xml:space="preserve"> sole discretion,</w:t>
      </w:r>
      <w:r w:rsidR="00E4742E">
        <w:rPr>
          <w:rFonts w:cs="TimesNewRomanPSMT"/>
        </w:rPr>
        <w:t xml:space="preserve"> </w:t>
      </w:r>
      <w:r w:rsidR="00AF58A2">
        <w:rPr>
          <w:rFonts w:cs="TimesNewRomanPSMT"/>
        </w:rPr>
        <w:t xml:space="preserve">to </w:t>
      </w:r>
      <w:r w:rsidR="00AE597B">
        <w:rPr>
          <w:rFonts w:cs="TimesNewRomanPSMT"/>
        </w:rPr>
        <w:t>cause</w:t>
      </w:r>
      <w:r w:rsidR="00AF58A2">
        <w:rPr>
          <w:rFonts w:cs="TimesNewRomanPSMT"/>
        </w:rPr>
        <w:t xml:space="preserve"> the registration of </w:t>
      </w:r>
      <w:r w:rsidR="00AE597B">
        <w:rPr>
          <w:rFonts w:cs="TimesNewRomanPSMT"/>
        </w:rPr>
        <w:t>such domains in</w:t>
      </w:r>
      <w:r w:rsidR="00AF58A2">
        <w:rPr>
          <w:rFonts w:cs="TimesNewRomanPSMT"/>
        </w:rPr>
        <w:t xml:space="preserve"> .MED.</w:t>
      </w:r>
      <w:r w:rsidR="00E4742E">
        <w:rPr>
          <w:rFonts w:cs="TimesNewRomanPSMT"/>
        </w:rPr>
        <w:t xml:space="preserve">  All domain</w:t>
      </w:r>
      <w:r w:rsidR="00AF58A2">
        <w:rPr>
          <w:rFonts w:cs="TimesNewRomanPSMT"/>
        </w:rPr>
        <w:t>s</w:t>
      </w:r>
      <w:r w:rsidR="00E4742E">
        <w:rPr>
          <w:rFonts w:cs="TimesNewRomanPSMT"/>
        </w:rPr>
        <w:t xml:space="preserve"> contained in the Trademark Clearinghouse at the time of launch of the .MED Sunrise Period are </w:t>
      </w:r>
      <w:r w:rsidR="00AC3675">
        <w:rPr>
          <w:rFonts w:cs="TimesNewRomanPSMT"/>
        </w:rPr>
        <w:t>eligible</w:t>
      </w:r>
      <w:r w:rsidR="00AF58A2">
        <w:rPr>
          <w:rFonts w:cs="TimesNewRomanPSMT"/>
        </w:rPr>
        <w:t xml:space="preserve"> for </w:t>
      </w:r>
      <w:r w:rsidR="00AE597B">
        <w:rPr>
          <w:rFonts w:cs="TimesNewRomanPSMT"/>
        </w:rPr>
        <w:t xml:space="preserve">registration in </w:t>
      </w:r>
      <w:r w:rsidR="00AF58A2">
        <w:rPr>
          <w:rFonts w:cs="TimesNewRomanPSMT"/>
        </w:rPr>
        <w:t>the .MED Sunrise Period</w:t>
      </w:r>
      <w:r w:rsidR="00E4742E">
        <w:rPr>
          <w:rFonts w:cs="TimesNewRomanPSMT"/>
        </w:rPr>
        <w:t>.</w:t>
      </w:r>
    </w:p>
    <w:p w:rsidR="00EA6812" w:rsidRDefault="00E4742E" w:rsidP="00E4742E">
      <w:r w:rsidDel="00137527">
        <w:t xml:space="preserve"> </w:t>
      </w:r>
    </w:p>
    <w:p w:rsidR="00A404F8" w:rsidRDefault="00A404F8" w:rsidP="00A404F8">
      <w:r w:rsidRPr="001133E0">
        <w:t xml:space="preserve">Registry Operator will offer a </w:t>
      </w:r>
      <w:r w:rsidR="00137527">
        <w:t xml:space="preserve">sixty (60) day End </w:t>
      </w:r>
      <w:r w:rsidRPr="001133E0">
        <w:t>Date Sunrise Peri</w:t>
      </w:r>
      <w:r>
        <w:t xml:space="preserve">od, specifically in relation to </w:t>
      </w:r>
      <w:r w:rsidRPr="001133E0">
        <w:t>Rights Protection Mechanisms. The Sunrise Period allows t</w:t>
      </w:r>
      <w:r>
        <w:t xml:space="preserve">rademark holders the ability to </w:t>
      </w:r>
      <w:r w:rsidR="00A644CD">
        <w:t xml:space="preserve">submit for trademark registrations </w:t>
      </w:r>
      <w:r w:rsidRPr="001133E0">
        <w:t xml:space="preserve">in </w:t>
      </w:r>
      <w:r>
        <w:t>the</w:t>
      </w:r>
      <w:r w:rsidRPr="001133E0">
        <w:t xml:space="preserve"> </w:t>
      </w:r>
      <w:r w:rsidR="00137527">
        <w:t>.MED</w:t>
      </w:r>
      <w:r w:rsidR="00AE597B">
        <w:t xml:space="preserve"> TLD</w:t>
      </w:r>
      <w:r w:rsidRPr="001133E0">
        <w:t>. During the Sunrise P</w:t>
      </w:r>
      <w:r>
        <w:t xml:space="preserve">eriod, only </w:t>
      </w:r>
      <w:r w:rsidRPr="001133E0">
        <w:t xml:space="preserve">SMD File holders are </w:t>
      </w:r>
      <w:r w:rsidR="00EA6812">
        <w:t>able</w:t>
      </w:r>
      <w:r w:rsidRPr="001133E0">
        <w:t xml:space="preserve"> to </w:t>
      </w:r>
      <w:r w:rsidR="005702C7">
        <w:t xml:space="preserve">complete a </w:t>
      </w:r>
      <w:r w:rsidRPr="001133E0">
        <w:t>Sun</w:t>
      </w:r>
      <w:r>
        <w:t xml:space="preserve">rise </w:t>
      </w:r>
      <w:r w:rsidR="005702C7">
        <w:t xml:space="preserve">registration.  </w:t>
      </w:r>
      <w:r>
        <w:t xml:space="preserve">Successful </w:t>
      </w:r>
      <w:r w:rsidRPr="001133E0">
        <w:t xml:space="preserve">Sunrise Registration(s) will be </w:t>
      </w:r>
      <w:r w:rsidR="00A644CD">
        <w:t xml:space="preserve">permitted </w:t>
      </w:r>
      <w:r w:rsidR="005702C7">
        <w:t>use of the Sunrise Registration</w:t>
      </w:r>
      <w:r w:rsidR="00A644CD">
        <w:t xml:space="preserve">, </w:t>
      </w:r>
      <w:r w:rsidR="005702C7">
        <w:t>with the Registry Operator listed as the registrant of record</w:t>
      </w:r>
      <w:r>
        <w:t xml:space="preserve">. </w:t>
      </w:r>
    </w:p>
    <w:p w:rsidR="009A0908" w:rsidRPr="001133E0" w:rsidRDefault="009A0908" w:rsidP="009A0908">
      <w:r>
        <w:t>If more than one Sunrise Application for the same Domain Name meets the eligibility criteria described herein, the Sunrise Applications will be submitted to the Registry Operator's authorized Auction Provider.</w:t>
      </w:r>
    </w:p>
    <w:p w:rsidR="00A404F8" w:rsidRPr="006F48EB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6F48EB">
        <w:rPr>
          <w:b/>
          <w:bCs/>
        </w:rPr>
        <w:t>Available Sunrise Registration Periods:</w:t>
      </w:r>
    </w:p>
    <w:p w:rsidR="00A404F8" w:rsidRPr="001133E0" w:rsidRDefault="00A404F8" w:rsidP="00A404F8">
      <w:r w:rsidRPr="001133E0">
        <w:t xml:space="preserve">Sunrise Period Registrations may be </w:t>
      </w:r>
      <w:r w:rsidR="00A83B3F">
        <w:t>licensed</w:t>
      </w:r>
      <w:r w:rsidRPr="001133E0">
        <w:t xml:space="preserve"> in yearly incremen</w:t>
      </w:r>
      <w:r>
        <w:t xml:space="preserve">ts of no less than one (1) year </w:t>
      </w:r>
      <w:r w:rsidRPr="001133E0">
        <w:t>and no more than ten (10) years, commencing on the d</w:t>
      </w:r>
      <w:r>
        <w:t xml:space="preserve">ate on which the Domain Name is </w:t>
      </w:r>
      <w:r w:rsidRPr="001133E0">
        <w:t>registered. Unless otherwise terminated, such registration wil</w:t>
      </w:r>
      <w:r>
        <w:t xml:space="preserve">l expire on the same day of the </w:t>
      </w:r>
      <w:r w:rsidRPr="001133E0">
        <w:t>month the registration was created.</w:t>
      </w:r>
    </w:p>
    <w:p w:rsidR="00A404F8" w:rsidRPr="006F48EB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6F48EB">
        <w:rPr>
          <w:b/>
          <w:bCs/>
        </w:rPr>
        <w:t>Eligible Applicants:</w:t>
      </w:r>
    </w:p>
    <w:p w:rsidR="00A404F8" w:rsidRPr="001133E0" w:rsidRDefault="00A404F8" w:rsidP="00A404F8">
      <w:r w:rsidRPr="001133E0">
        <w:lastRenderedPageBreak/>
        <w:t xml:space="preserve">Each </w:t>
      </w:r>
      <w:r w:rsidR="006953A5">
        <w:t xml:space="preserve">Sunrise </w:t>
      </w:r>
      <w:r w:rsidRPr="001133E0">
        <w:t>applicant must meet the qualifications specified by ICA</w:t>
      </w:r>
      <w:r>
        <w:t xml:space="preserve">NN requirements and detailed in </w:t>
      </w:r>
      <w:r w:rsidRPr="001133E0">
        <w:t>the TMCH Guidelines, as th</w:t>
      </w:r>
      <w:r w:rsidR="006953A5">
        <w:t xml:space="preserve">ey may change from time to time. </w:t>
      </w:r>
      <w:r w:rsidR="00EC4978">
        <w:t xml:space="preserve"> Any Sunrise applicant not meeting </w:t>
      </w:r>
      <w:r w:rsidR="00AE597B">
        <w:t>these</w:t>
      </w:r>
      <w:r w:rsidR="00F041B4">
        <w:t xml:space="preserve"> </w:t>
      </w:r>
      <w:r w:rsidR="00EC4978">
        <w:t xml:space="preserve">requirements will result in </w:t>
      </w:r>
      <w:r w:rsidR="00A03BA9">
        <w:t xml:space="preserve">rejection or </w:t>
      </w:r>
      <w:r w:rsidR="00EC4978">
        <w:t>cancellation of the Domain Name.</w:t>
      </w:r>
    </w:p>
    <w:p w:rsidR="00A404F8" w:rsidRPr="006F48EB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6F48EB">
        <w:rPr>
          <w:b/>
          <w:bCs/>
        </w:rPr>
        <w:t>SMD File Requirements:</w:t>
      </w:r>
    </w:p>
    <w:p w:rsidR="00A404F8" w:rsidRPr="001133E0" w:rsidRDefault="00A404F8" w:rsidP="00A404F8">
      <w:r w:rsidRPr="001133E0">
        <w:t>The Applicant must provide information required by the</w:t>
      </w:r>
      <w:r>
        <w:t xml:space="preserve"> TMCH to obtain the SMD File as </w:t>
      </w:r>
      <w:r w:rsidRPr="001133E0">
        <w:t>detailed in Sections 2 and 3 of the TMCH Guidelines. The TMCH</w:t>
      </w:r>
      <w:r>
        <w:t xml:space="preserve"> then will issue an SMD File to </w:t>
      </w:r>
      <w:r w:rsidRPr="001133E0">
        <w:t xml:space="preserve">verified applicants. The Sunrise Applicant must submit a valid </w:t>
      </w:r>
      <w:r>
        <w:t xml:space="preserve">SMD File along with its Sunrise </w:t>
      </w:r>
      <w:r w:rsidRPr="001133E0">
        <w:t>Application. The Registry Operator will perform verification of the SMD File</w:t>
      </w:r>
      <w:r>
        <w:t xml:space="preserve"> and confirm that </w:t>
      </w:r>
      <w:r w:rsidRPr="001133E0">
        <w:t>the applied for Label is contained in the SMD File. Where verifi</w:t>
      </w:r>
      <w:r>
        <w:t xml:space="preserve">cation of the SMD File fails or </w:t>
      </w:r>
      <w:r w:rsidRPr="001133E0">
        <w:t>the applied for Label is not contained in the SMD File, that Application will be rejected.</w:t>
      </w:r>
    </w:p>
    <w:p w:rsidR="00A404F8" w:rsidRPr="006F48EB" w:rsidRDefault="00EC4978" w:rsidP="00A404F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Registration</w:t>
      </w:r>
      <w:r w:rsidR="00A404F8" w:rsidRPr="006F48EB">
        <w:rPr>
          <w:b/>
          <w:bCs/>
        </w:rPr>
        <w:t>:</w:t>
      </w:r>
    </w:p>
    <w:p w:rsidR="00A61AD3" w:rsidRPr="001133E0" w:rsidRDefault="00A404F8" w:rsidP="00A404F8">
      <w:r w:rsidRPr="001133E0">
        <w:t>Unless otherwise stated in this Overview, the Registry Ope</w:t>
      </w:r>
      <w:r>
        <w:t xml:space="preserve">rator, via the Registry Service </w:t>
      </w:r>
      <w:r w:rsidRPr="001133E0">
        <w:t xml:space="preserve">Provider, will </w:t>
      </w:r>
      <w:r w:rsidR="00EC4978">
        <w:t>register</w:t>
      </w:r>
      <w:r w:rsidRPr="001133E0">
        <w:t xml:space="preserve"> a Domain Name if:</w:t>
      </w:r>
    </w:p>
    <w:p w:rsidR="00A404F8" w:rsidRPr="001133E0" w:rsidRDefault="00A404F8" w:rsidP="00A404F8">
      <w:pPr>
        <w:ind w:firstLine="720"/>
      </w:pPr>
      <w:r w:rsidRPr="001133E0">
        <w:t>• The Domain Name Label meets the requirements set out below;</w:t>
      </w:r>
    </w:p>
    <w:p w:rsidR="00A404F8" w:rsidRPr="001133E0" w:rsidRDefault="00A404F8" w:rsidP="00A404F8">
      <w:pPr>
        <w:ind w:left="720"/>
      </w:pPr>
      <w:r w:rsidRPr="001133E0">
        <w:t>• The Domain Name Label and the information contained in the Registrar's request</w:t>
      </w:r>
      <w:r>
        <w:t xml:space="preserve"> meet </w:t>
      </w:r>
      <w:r w:rsidRPr="001133E0">
        <w:t>the requirements in the Registrar Terms and Conditions;</w:t>
      </w:r>
    </w:p>
    <w:p w:rsidR="00A404F8" w:rsidRPr="001133E0" w:rsidRDefault="00A404F8" w:rsidP="00A404F8">
      <w:pPr>
        <w:ind w:firstLine="720"/>
      </w:pPr>
      <w:r w:rsidRPr="001133E0">
        <w:t>• The Domain Name Label is available;</w:t>
      </w:r>
      <w:bookmarkStart w:id="0" w:name="_GoBack"/>
      <w:bookmarkEnd w:id="0"/>
    </w:p>
    <w:p w:rsidR="00A404F8" w:rsidRDefault="00A404F8" w:rsidP="00A404F8">
      <w:pPr>
        <w:ind w:firstLine="720"/>
      </w:pPr>
      <w:r w:rsidRPr="001133E0">
        <w:t>• The Registrar is in good standing with the Registry</w:t>
      </w:r>
      <w:r w:rsidR="000F6F1B">
        <w:t>; and</w:t>
      </w:r>
    </w:p>
    <w:p w:rsidR="00AC3675" w:rsidRPr="00AC3675" w:rsidRDefault="00AC3675" w:rsidP="00AC3675">
      <w:pPr>
        <w:pStyle w:val="ListParagraph"/>
        <w:rPr>
          <w:b/>
          <w:bCs/>
        </w:rPr>
      </w:pPr>
      <w:r w:rsidRPr="001133E0">
        <w:t xml:space="preserve">• The </w:t>
      </w:r>
      <w:r>
        <w:t>Applicant has paid all fees required to complete the registration.</w:t>
      </w:r>
    </w:p>
    <w:p w:rsidR="00AC3675" w:rsidRPr="00AC3675" w:rsidRDefault="00AC3675" w:rsidP="00AC3675">
      <w:pPr>
        <w:pStyle w:val="ListParagraph"/>
        <w:rPr>
          <w:b/>
          <w:bCs/>
        </w:rPr>
      </w:pPr>
    </w:p>
    <w:p w:rsidR="00A404F8" w:rsidRPr="006F48EB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6F48EB">
        <w:rPr>
          <w:b/>
          <w:bCs/>
        </w:rPr>
        <w:t>Domain Name Label Requirements:</w:t>
      </w:r>
    </w:p>
    <w:p w:rsidR="00A404F8" w:rsidRPr="001133E0" w:rsidRDefault="00A404F8" w:rsidP="00A404F8">
      <w:r w:rsidRPr="001133E0">
        <w:t>Registry Operator, via Registry Service Provider, will not accept a</w:t>
      </w:r>
      <w:r>
        <w:t xml:space="preserve"> Sunrise Application unless the </w:t>
      </w:r>
      <w:r w:rsidRPr="001133E0">
        <w:t>applied-for Domain Name meets the applicable requirements</w:t>
      </w:r>
      <w:r>
        <w:t xml:space="preserve"> as defined in RFC 1035 and RFC </w:t>
      </w:r>
      <w:r w:rsidRPr="001133E0">
        <w:t>1123, including the following technical and syntax requirements. The Domain Name Label must:</w:t>
      </w:r>
    </w:p>
    <w:p w:rsidR="00A404F8" w:rsidRPr="001133E0" w:rsidRDefault="00A404F8" w:rsidP="00A404F8">
      <w:pPr>
        <w:ind w:firstLine="720"/>
      </w:pPr>
      <w:r w:rsidRPr="001133E0">
        <w:t xml:space="preserve">• </w:t>
      </w:r>
      <w:proofErr w:type="gramStart"/>
      <w:r w:rsidRPr="001133E0">
        <w:t>if</w:t>
      </w:r>
      <w:proofErr w:type="gramEnd"/>
      <w:r w:rsidRPr="001133E0">
        <w:t xml:space="preserve"> ASCII, consist exclusively of the letters A-Z (case insensitive), the numbers 0-9, and</w:t>
      </w:r>
      <w:r>
        <w:t xml:space="preserve"> </w:t>
      </w:r>
      <w:r w:rsidRPr="001133E0">
        <w:t>hyphens;</w:t>
      </w:r>
    </w:p>
    <w:p w:rsidR="00A404F8" w:rsidRPr="001133E0" w:rsidRDefault="00A404F8" w:rsidP="00A404F8">
      <w:pPr>
        <w:ind w:left="720"/>
      </w:pPr>
      <w:r w:rsidRPr="001133E0">
        <w:t xml:space="preserve">• </w:t>
      </w:r>
      <w:proofErr w:type="gramStart"/>
      <w:r w:rsidRPr="001133E0">
        <w:t>if</w:t>
      </w:r>
      <w:proofErr w:type="gramEnd"/>
      <w:r w:rsidRPr="001133E0">
        <w:t xml:space="preserve"> non-ASCII (e.g., IDN), consist of language scripts offered by the Registry (as specified</w:t>
      </w:r>
      <w:r>
        <w:t xml:space="preserve"> </w:t>
      </w:r>
      <w:r w:rsidRPr="001133E0">
        <w:t>on the Registry Website);</w:t>
      </w:r>
    </w:p>
    <w:p w:rsidR="00A404F8" w:rsidRPr="001133E0" w:rsidRDefault="00A404F8" w:rsidP="00A404F8">
      <w:pPr>
        <w:ind w:firstLine="720"/>
      </w:pPr>
      <w:r w:rsidRPr="001133E0">
        <w:t xml:space="preserve">• </w:t>
      </w:r>
      <w:proofErr w:type="gramStart"/>
      <w:r w:rsidRPr="001133E0">
        <w:t>not</w:t>
      </w:r>
      <w:proofErr w:type="gramEnd"/>
      <w:r w:rsidRPr="001133E0">
        <w:t xml:space="preserve"> begin or end with a hyphen;</w:t>
      </w:r>
    </w:p>
    <w:p w:rsidR="00A404F8" w:rsidRPr="001133E0" w:rsidRDefault="00A404F8" w:rsidP="00A404F8">
      <w:pPr>
        <w:ind w:firstLine="720"/>
      </w:pPr>
      <w:r w:rsidRPr="001133E0">
        <w:t xml:space="preserve">• </w:t>
      </w:r>
      <w:proofErr w:type="gramStart"/>
      <w:r w:rsidRPr="001133E0">
        <w:t>not</w:t>
      </w:r>
      <w:proofErr w:type="gramEnd"/>
      <w:r w:rsidRPr="001133E0">
        <w:t xml:space="preserve"> exceed 63 characters;</w:t>
      </w:r>
    </w:p>
    <w:p w:rsidR="00A404F8" w:rsidRPr="001133E0" w:rsidRDefault="00A404F8" w:rsidP="00A404F8">
      <w:pPr>
        <w:ind w:firstLine="720"/>
      </w:pPr>
      <w:r w:rsidRPr="001133E0">
        <w:t>• contains at least one character; and</w:t>
      </w:r>
    </w:p>
    <w:p w:rsidR="00A404F8" w:rsidRPr="001133E0" w:rsidRDefault="00A404F8" w:rsidP="00A404F8">
      <w:pPr>
        <w:ind w:firstLine="720"/>
      </w:pPr>
      <w:r w:rsidRPr="001133E0">
        <w:lastRenderedPageBreak/>
        <w:t>• not contain hyphens, except where two consecutive hyphens (-) are used in the 3rd and</w:t>
      </w:r>
      <w:r>
        <w:t xml:space="preserve"> </w:t>
      </w:r>
      <w:r w:rsidRPr="001133E0">
        <w:t>4th positions, when preceded by "</w:t>
      </w:r>
      <w:proofErr w:type="spellStart"/>
      <w:r w:rsidRPr="001133E0">
        <w:t>xn</w:t>
      </w:r>
      <w:proofErr w:type="spellEnd"/>
      <w:r w:rsidRPr="001133E0">
        <w:t>" and followed by a</w:t>
      </w:r>
      <w:r>
        <w:t xml:space="preserve"> label that corresponds with an </w:t>
      </w:r>
      <w:r w:rsidRPr="001133E0">
        <w:t>IDN containing characters.</w:t>
      </w:r>
    </w:p>
    <w:p w:rsidR="00A03BA9" w:rsidRDefault="00A03BA9" w:rsidP="00A03BA9">
      <w:pPr>
        <w:pStyle w:val="ListParagraph"/>
        <w:rPr>
          <w:b/>
          <w:bCs/>
        </w:rPr>
      </w:pPr>
    </w:p>
    <w:p w:rsidR="00B653DD" w:rsidRDefault="00B653DD" w:rsidP="00A03BA9">
      <w:pPr>
        <w:pStyle w:val="ListParagraph"/>
        <w:rPr>
          <w:b/>
          <w:bCs/>
        </w:rPr>
      </w:pPr>
    </w:p>
    <w:p w:rsidR="00B653DD" w:rsidRDefault="00B653DD" w:rsidP="00A03BA9">
      <w:pPr>
        <w:pStyle w:val="ListParagraph"/>
        <w:rPr>
          <w:b/>
          <w:bCs/>
        </w:rPr>
      </w:pPr>
    </w:p>
    <w:p w:rsidR="00A404F8" w:rsidRPr="006F48EB" w:rsidRDefault="00A404F8" w:rsidP="00A404F8">
      <w:pPr>
        <w:pStyle w:val="ListParagraph"/>
        <w:numPr>
          <w:ilvl w:val="0"/>
          <w:numId w:val="1"/>
        </w:numPr>
        <w:rPr>
          <w:b/>
          <w:bCs/>
        </w:rPr>
      </w:pPr>
      <w:r w:rsidRPr="006F48EB">
        <w:rPr>
          <w:b/>
          <w:bCs/>
        </w:rPr>
        <w:t>SLD Blocked Domains:</w:t>
      </w:r>
    </w:p>
    <w:p w:rsidR="00A61AD3" w:rsidRDefault="00A404F8" w:rsidP="00A61AD3">
      <w:r w:rsidRPr="001133E0">
        <w:t xml:space="preserve">Applications </w:t>
      </w:r>
      <w:r w:rsidR="00EC4978">
        <w:t>may</w:t>
      </w:r>
      <w:r w:rsidRPr="001133E0">
        <w:t xml:space="preserve"> </w:t>
      </w:r>
      <w:r w:rsidR="001E1A18">
        <w:t>be</w:t>
      </w:r>
      <w:r w:rsidRPr="001133E0">
        <w:t xml:space="preserve"> accepted for domain names appearing on the</w:t>
      </w:r>
      <w:r>
        <w:t xml:space="preserve"> SLD block list </w:t>
      </w:r>
      <w:r w:rsidR="00A61AD3">
        <w:t xml:space="preserve">but </w:t>
      </w:r>
      <w:r w:rsidR="009A0908">
        <w:t>may</w:t>
      </w:r>
      <w:r w:rsidR="00A61AD3">
        <w:t xml:space="preserve"> not be permitted to function in the DNS</w:t>
      </w:r>
      <w:r w:rsidR="009A0908">
        <w:t>.</w:t>
      </w:r>
      <w:r w:rsidR="00A61AD3">
        <w:t xml:space="preserve"> </w:t>
      </w:r>
    </w:p>
    <w:p w:rsidR="00A404F8" w:rsidRPr="006F48EB" w:rsidRDefault="00A404F8" w:rsidP="00A61AD3">
      <w:pPr>
        <w:rPr>
          <w:b/>
          <w:bCs/>
        </w:rPr>
      </w:pPr>
      <w:r w:rsidRPr="006F48EB">
        <w:rPr>
          <w:b/>
          <w:bCs/>
        </w:rPr>
        <w:t>Sunrise Applicant Notification:</w:t>
      </w:r>
    </w:p>
    <w:p w:rsidR="00A404F8" w:rsidRPr="001133E0" w:rsidRDefault="00A404F8" w:rsidP="00A404F8">
      <w:r w:rsidRPr="001133E0">
        <w:t>Notification to Sunrise applicants will be as follows:</w:t>
      </w:r>
    </w:p>
    <w:p w:rsidR="00A404F8" w:rsidRPr="001133E0" w:rsidRDefault="00A404F8" w:rsidP="008F1B3C">
      <w:pPr>
        <w:ind w:firstLine="720"/>
      </w:pPr>
      <w:r w:rsidRPr="001133E0">
        <w:t xml:space="preserve">• At the end of Sunrise, the Registry Operator will notify </w:t>
      </w:r>
      <w:r w:rsidR="00F041B4">
        <w:t xml:space="preserve">the sponsoring </w:t>
      </w:r>
      <w:r w:rsidRPr="001133E0">
        <w:t xml:space="preserve">Registrar </w:t>
      </w:r>
      <w:r w:rsidR="00A83B3F">
        <w:t xml:space="preserve">of </w:t>
      </w:r>
      <w:r w:rsidRPr="001133E0">
        <w:t>a</w:t>
      </w:r>
      <w:r>
        <w:t xml:space="preserve"> </w:t>
      </w:r>
      <w:r w:rsidRPr="001133E0">
        <w:t xml:space="preserve">Sunrise </w:t>
      </w:r>
      <w:r w:rsidR="00A83B3F">
        <w:t xml:space="preserve">Registration. </w:t>
      </w:r>
    </w:p>
    <w:p w:rsidR="00A404F8" w:rsidRPr="001133E0" w:rsidRDefault="00A404F8" w:rsidP="00A404F8">
      <w:pPr>
        <w:ind w:firstLine="720"/>
      </w:pPr>
      <w:r w:rsidRPr="001133E0">
        <w:t xml:space="preserve">• The Registry Operator may notify the TMCH of successful Sunrise </w:t>
      </w:r>
      <w:r w:rsidR="008F1B3C">
        <w:t>Registrations</w:t>
      </w:r>
      <w:r w:rsidRPr="001133E0">
        <w:t xml:space="preserve"> once the</w:t>
      </w:r>
      <w:r>
        <w:t xml:space="preserve"> c</w:t>
      </w:r>
      <w:r w:rsidRPr="001133E0">
        <w:t>orresponding Sunrise Registration has been made.</w:t>
      </w:r>
    </w:p>
    <w:p w:rsidR="00A404F8" w:rsidRPr="001133E0" w:rsidRDefault="00A404F8" w:rsidP="00A404F8">
      <w:pPr>
        <w:ind w:firstLine="720"/>
      </w:pPr>
      <w:r w:rsidRPr="001133E0">
        <w:t>• The Registry Operator may also publish all or any portion of a Sunrise</w:t>
      </w:r>
      <w:r>
        <w:t xml:space="preserve"> </w:t>
      </w:r>
      <w:r w:rsidR="008F1B3C">
        <w:t>Registration</w:t>
      </w:r>
      <w:r w:rsidRPr="001133E0">
        <w:t xml:space="preserve"> online (e.g., via WHOIS).</w:t>
      </w:r>
    </w:p>
    <w:p w:rsidR="00A404F8" w:rsidRPr="001133E0" w:rsidRDefault="00A404F8" w:rsidP="00A404F8">
      <w:pPr>
        <w:ind w:firstLine="720"/>
        <w:rPr>
          <w:b/>
          <w:bCs/>
        </w:rPr>
      </w:pPr>
      <w:r w:rsidRPr="001133E0">
        <w:t xml:space="preserve">• </w:t>
      </w:r>
      <w:r w:rsidRPr="001133E0">
        <w:rPr>
          <w:b/>
          <w:bCs/>
        </w:rPr>
        <w:t>The Registry's Rights:</w:t>
      </w:r>
    </w:p>
    <w:p w:rsidR="00A404F8" w:rsidRPr="001133E0" w:rsidRDefault="00A404F8" w:rsidP="00A404F8">
      <w:r w:rsidRPr="001133E0">
        <w:t>The Registry Operator shall be entitled, but not obligated, to rej</w:t>
      </w:r>
      <w:r>
        <w:t xml:space="preserve">ect a Sunrise </w:t>
      </w:r>
      <w:r w:rsidR="008F1B3C">
        <w:t>Registration</w:t>
      </w:r>
      <w:r>
        <w:t xml:space="preserve"> or to </w:t>
      </w:r>
      <w:r w:rsidRPr="001133E0">
        <w:t>delete, revoke, cancel, suspend or transfer a Sunrise Registration:</w:t>
      </w:r>
    </w:p>
    <w:p w:rsidR="00A404F8" w:rsidRPr="001133E0" w:rsidRDefault="00A404F8" w:rsidP="00A404F8">
      <w:pPr>
        <w:ind w:firstLine="720"/>
      </w:pPr>
      <w:r w:rsidRPr="001133E0">
        <w:t>• To enforce Registry policies and ICANN Requirements, each as amended from time to</w:t>
      </w:r>
      <w:r>
        <w:t xml:space="preserve"> </w:t>
      </w:r>
      <w:r w:rsidRPr="001133E0">
        <w:t>time;</w:t>
      </w:r>
    </w:p>
    <w:p w:rsidR="00A404F8" w:rsidRPr="001133E0" w:rsidRDefault="00A404F8" w:rsidP="00A404F8">
      <w:pPr>
        <w:ind w:left="720"/>
      </w:pPr>
      <w:r w:rsidRPr="001133E0">
        <w:t>• That is not accompanied by complete and accurate information, or where required,</w:t>
      </w:r>
      <w:r>
        <w:t xml:space="preserve"> </w:t>
      </w:r>
      <w:r w:rsidRPr="001133E0">
        <w:t>information is not updated or corrected, as required by ICANN Requirements o</w:t>
      </w:r>
      <w:r>
        <w:t xml:space="preserve">r Registry </w:t>
      </w:r>
      <w:r w:rsidRPr="001133E0">
        <w:t>policies;</w:t>
      </w:r>
    </w:p>
    <w:p w:rsidR="00A404F8" w:rsidRPr="001133E0" w:rsidRDefault="00A404F8" w:rsidP="00A404F8">
      <w:pPr>
        <w:ind w:firstLine="720"/>
      </w:pPr>
      <w:r w:rsidRPr="001133E0">
        <w:t>• To protect the integrity and stability of the operation or management of the Registry;</w:t>
      </w:r>
    </w:p>
    <w:p w:rsidR="00A404F8" w:rsidRPr="001133E0" w:rsidRDefault="00A404F8" w:rsidP="00A404F8">
      <w:pPr>
        <w:ind w:left="720"/>
      </w:pPr>
      <w:r w:rsidRPr="001133E0">
        <w:t>• To comply with applicable laws, regulations, policies or any holding, order, or decision</w:t>
      </w:r>
      <w:r>
        <w:t xml:space="preserve"> </w:t>
      </w:r>
      <w:r w:rsidRPr="001133E0">
        <w:t>by a competent court or administrative authority, or any dispute resolution service</w:t>
      </w:r>
      <w:r>
        <w:t xml:space="preserve"> </w:t>
      </w:r>
      <w:r w:rsidRPr="001133E0">
        <w:t>provider the Registry may retain to oversee the arbitration and mediation of disputes;</w:t>
      </w:r>
    </w:p>
    <w:p w:rsidR="00A404F8" w:rsidRPr="001133E0" w:rsidRDefault="00A404F8" w:rsidP="00A404F8">
      <w:pPr>
        <w:ind w:left="720"/>
      </w:pPr>
      <w:r w:rsidRPr="001133E0">
        <w:t>• To establish, assert, or defend the legal rights of the Registry or a third party, or to avoid</w:t>
      </w:r>
      <w:r>
        <w:t xml:space="preserve"> </w:t>
      </w:r>
      <w:r w:rsidRPr="001133E0">
        <w:t>any actual or potential civil or criminal liability on the pa</w:t>
      </w:r>
      <w:r>
        <w:t xml:space="preserve">rt of or damage to the Registry </w:t>
      </w:r>
      <w:r w:rsidRPr="001133E0">
        <w:t>or its affiliates, subsidiaries, contracted parties, office</w:t>
      </w:r>
      <w:r>
        <w:t xml:space="preserve">rs, directors, representatives, </w:t>
      </w:r>
      <w:r w:rsidRPr="001133E0">
        <w:t>employees, contractors, and stockholders;</w:t>
      </w:r>
    </w:p>
    <w:p w:rsidR="00A404F8" w:rsidRPr="001133E0" w:rsidRDefault="00A404F8" w:rsidP="00A404F8">
      <w:pPr>
        <w:ind w:left="720"/>
      </w:pPr>
      <w:r w:rsidRPr="001133E0">
        <w:lastRenderedPageBreak/>
        <w:t>• To correct mistakes made by the Registry or any Registrar in connection with a Sunrise</w:t>
      </w:r>
      <w:r>
        <w:t xml:space="preserve"> </w:t>
      </w:r>
      <w:r w:rsidRPr="001133E0">
        <w:t>Registration;</w:t>
      </w:r>
    </w:p>
    <w:p w:rsidR="00A404F8" w:rsidRPr="001133E0" w:rsidRDefault="00A404F8" w:rsidP="00A404F8">
      <w:pPr>
        <w:ind w:firstLine="720"/>
      </w:pPr>
      <w:r w:rsidRPr="001133E0">
        <w:t>• If the Registry receives notice that the SMD File is under dispute; or</w:t>
      </w:r>
    </w:p>
    <w:p w:rsidR="006D62F3" w:rsidRDefault="00A404F8" w:rsidP="00F041B4">
      <w:pPr>
        <w:ind w:firstLine="720"/>
      </w:pPr>
      <w:r w:rsidRPr="001133E0">
        <w:t>• As otherwise provided in the Registrar terms and conditions or Registry-Registrar</w:t>
      </w:r>
      <w:r>
        <w:t xml:space="preserve"> </w:t>
      </w:r>
      <w:r w:rsidRPr="001133E0">
        <w:t>agreement.</w:t>
      </w:r>
    </w:p>
    <w:sectPr w:rsidR="006D6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34B16"/>
    <w:multiLevelType w:val="hybridMultilevel"/>
    <w:tmpl w:val="9CBC6052"/>
    <w:lvl w:ilvl="0" w:tplc="005ADF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F8"/>
    <w:rsid w:val="000000AE"/>
    <w:rsid w:val="00054338"/>
    <w:rsid w:val="0006526F"/>
    <w:rsid w:val="00086F36"/>
    <w:rsid w:val="000C56CF"/>
    <w:rsid w:val="000F481A"/>
    <w:rsid w:val="000F6F1B"/>
    <w:rsid w:val="0010029B"/>
    <w:rsid w:val="001370C4"/>
    <w:rsid w:val="00137527"/>
    <w:rsid w:val="00144030"/>
    <w:rsid w:val="001727FD"/>
    <w:rsid w:val="00192928"/>
    <w:rsid w:val="001A55E6"/>
    <w:rsid w:val="001A563C"/>
    <w:rsid w:val="001E1A18"/>
    <w:rsid w:val="00216BF2"/>
    <w:rsid w:val="002216D7"/>
    <w:rsid w:val="002368D8"/>
    <w:rsid w:val="002A2399"/>
    <w:rsid w:val="002B6589"/>
    <w:rsid w:val="002D73B8"/>
    <w:rsid w:val="002E4CAE"/>
    <w:rsid w:val="00302CD6"/>
    <w:rsid w:val="00352C1F"/>
    <w:rsid w:val="00386F05"/>
    <w:rsid w:val="00387EF1"/>
    <w:rsid w:val="0039534C"/>
    <w:rsid w:val="003A7BFD"/>
    <w:rsid w:val="003F34A7"/>
    <w:rsid w:val="0041298A"/>
    <w:rsid w:val="004247E7"/>
    <w:rsid w:val="004B0435"/>
    <w:rsid w:val="004D085C"/>
    <w:rsid w:val="0051141C"/>
    <w:rsid w:val="00520A1E"/>
    <w:rsid w:val="005322AE"/>
    <w:rsid w:val="005379DE"/>
    <w:rsid w:val="005522D1"/>
    <w:rsid w:val="0055714F"/>
    <w:rsid w:val="005702C7"/>
    <w:rsid w:val="00581A86"/>
    <w:rsid w:val="00587D6C"/>
    <w:rsid w:val="005B453D"/>
    <w:rsid w:val="0060166E"/>
    <w:rsid w:val="006043B6"/>
    <w:rsid w:val="00621E39"/>
    <w:rsid w:val="00633D4C"/>
    <w:rsid w:val="00661187"/>
    <w:rsid w:val="006742CF"/>
    <w:rsid w:val="00677839"/>
    <w:rsid w:val="00686230"/>
    <w:rsid w:val="006953A5"/>
    <w:rsid w:val="006C761F"/>
    <w:rsid w:val="006D44A5"/>
    <w:rsid w:val="006D62F3"/>
    <w:rsid w:val="006E19BD"/>
    <w:rsid w:val="006E4907"/>
    <w:rsid w:val="00712609"/>
    <w:rsid w:val="00715A8C"/>
    <w:rsid w:val="007245EB"/>
    <w:rsid w:val="00735848"/>
    <w:rsid w:val="00736A88"/>
    <w:rsid w:val="007442B4"/>
    <w:rsid w:val="00753BEA"/>
    <w:rsid w:val="00766866"/>
    <w:rsid w:val="00767FBB"/>
    <w:rsid w:val="007C440D"/>
    <w:rsid w:val="00820539"/>
    <w:rsid w:val="00821966"/>
    <w:rsid w:val="00857251"/>
    <w:rsid w:val="008737BC"/>
    <w:rsid w:val="0087558C"/>
    <w:rsid w:val="00885FE2"/>
    <w:rsid w:val="00894ECE"/>
    <w:rsid w:val="008A53F4"/>
    <w:rsid w:val="008B59E0"/>
    <w:rsid w:val="008C09C6"/>
    <w:rsid w:val="008C24BA"/>
    <w:rsid w:val="008F0868"/>
    <w:rsid w:val="008F1B3C"/>
    <w:rsid w:val="0091768B"/>
    <w:rsid w:val="009441E2"/>
    <w:rsid w:val="009644E6"/>
    <w:rsid w:val="00993688"/>
    <w:rsid w:val="00995F84"/>
    <w:rsid w:val="009A0908"/>
    <w:rsid w:val="009B1177"/>
    <w:rsid w:val="009E794A"/>
    <w:rsid w:val="00A03BA9"/>
    <w:rsid w:val="00A404F8"/>
    <w:rsid w:val="00A41F98"/>
    <w:rsid w:val="00A47B50"/>
    <w:rsid w:val="00A61AD3"/>
    <w:rsid w:val="00A644CD"/>
    <w:rsid w:val="00A67EBC"/>
    <w:rsid w:val="00A7796C"/>
    <w:rsid w:val="00A83B3F"/>
    <w:rsid w:val="00AB3269"/>
    <w:rsid w:val="00AB5705"/>
    <w:rsid w:val="00AC3675"/>
    <w:rsid w:val="00AC508C"/>
    <w:rsid w:val="00AE3779"/>
    <w:rsid w:val="00AE597B"/>
    <w:rsid w:val="00AF4745"/>
    <w:rsid w:val="00AF58A2"/>
    <w:rsid w:val="00B11AE9"/>
    <w:rsid w:val="00B11E70"/>
    <w:rsid w:val="00B3721F"/>
    <w:rsid w:val="00B37422"/>
    <w:rsid w:val="00B40A42"/>
    <w:rsid w:val="00B52D87"/>
    <w:rsid w:val="00B55FBB"/>
    <w:rsid w:val="00B653DD"/>
    <w:rsid w:val="00B74E0C"/>
    <w:rsid w:val="00B825B1"/>
    <w:rsid w:val="00B92F13"/>
    <w:rsid w:val="00B94D46"/>
    <w:rsid w:val="00BC5492"/>
    <w:rsid w:val="00BD499D"/>
    <w:rsid w:val="00BD6311"/>
    <w:rsid w:val="00BE33FA"/>
    <w:rsid w:val="00C8557F"/>
    <w:rsid w:val="00C9320B"/>
    <w:rsid w:val="00C97CAB"/>
    <w:rsid w:val="00CA31A7"/>
    <w:rsid w:val="00CA4512"/>
    <w:rsid w:val="00CB45C5"/>
    <w:rsid w:val="00CB65DD"/>
    <w:rsid w:val="00CC0238"/>
    <w:rsid w:val="00CC17CC"/>
    <w:rsid w:val="00CE3734"/>
    <w:rsid w:val="00CF050C"/>
    <w:rsid w:val="00D026FF"/>
    <w:rsid w:val="00D057EA"/>
    <w:rsid w:val="00D14D6A"/>
    <w:rsid w:val="00D26A13"/>
    <w:rsid w:val="00D804F7"/>
    <w:rsid w:val="00D853BD"/>
    <w:rsid w:val="00DA3E98"/>
    <w:rsid w:val="00DE281A"/>
    <w:rsid w:val="00E01868"/>
    <w:rsid w:val="00E348D6"/>
    <w:rsid w:val="00E416C1"/>
    <w:rsid w:val="00E4742E"/>
    <w:rsid w:val="00E65AD4"/>
    <w:rsid w:val="00EA6812"/>
    <w:rsid w:val="00EB550B"/>
    <w:rsid w:val="00EC0DE6"/>
    <w:rsid w:val="00EC278B"/>
    <w:rsid w:val="00EC4978"/>
    <w:rsid w:val="00EC4FFB"/>
    <w:rsid w:val="00EF12AD"/>
    <w:rsid w:val="00F041B4"/>
    <w:rsid w:val="00F11D89"/>
    <w:rsid w:val="00F2118C"/>
    <w:rsid w:val="00F44E2B"/>
    <w:rsid w:val="00F5035B"/>
    <w:rsid w:val="00F86D40"/>
    <w:rsid w:val="00FA32FB"/>
    <w:rsid w:val="00FA3423"/>
    <w:rsid w:val="00FB5E55"/>
    <w:rsid w:val="00FB5E60"/>
    <w:rsid w:val="00FC0909"/>
    <w:rsid w:val="00FE50A9"/>
    <w:rsid w:val="00FF32C2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4F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ademark-clearinghous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gtlds.icann.org/en/about/trademark-clearinghou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Fassett</dc:creator>
  <cp:lastModifiedBy>Turk, Joe</cp:lastModifiedBy>
  <cp:revision>2</cp:revision>
  <cp:lastPrinted>2014-07-30T16:47:00Z</cp:lastPrinted>
  <dcterms:created xsi:type="dcterms:W3CDTF">2016-04-12T13:56:00Z</dcterms:created>
  <dcterms:modified xsi:type="dcterms:W3CDTF">2016-04-12T13:56:00Z</dcterms:modified>
</cp:coreProperties>
</file>