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D1E36" w14:textId="77777777" w:rsidR="00E55310" w:rsidRPr="00E90761" w:rsidRDefault="00E55310" w:rsidP="00E55310">
      <w:pPr>
        <w:widowControl w:val="0"/>
        <w:autoSpaceDE w:val="0"/>
        <w:autoSpaceDN w:val="0"/>
        <w:adjustRightInd w:val="0"/>
        <w:spacing w:after="160"/>
        <w:contextualSpacing/>
        <w:rPr>
          <w:rFonts w:ascii="Arial" w:eastAsia="ＭＳ 明朝" w:hAnsi="Arial" w:cs="Arial"/>
          <w:b/>
          <w:sz w:val="28"/>
          <w:szCs w:val="28"/>
          <w:u w:val="single"/>
          <w:lang w:eastAsia="ja-JP"/>
        </w:rPr>
      </w:pPr>
      <w:proofErr w:type="gramStart"/>
      <w:r w:rsidRPr="00E90761">
        <w:rPr>
          <w:rFonts w:ascii="Arial" w:eastAsia="ＭＳ 明朝" w:hAnsi="Arial" w:cs="Arial"/>
          <w:b/>
          <w:sz w:val="28"/>
          <w:szCs w:val="28"/>
          <w:u w:val="single"/>
          <w:lang w:eastAsia="ja-JP"/>
        </w:rPr>
        <w:t>.blog</w:t>
      </w:r>
      <w:proofErr w:type="gramEnd"/>
      <w:r w:rsidRPr="00E90761">
        <w:rPr>
          <w:rFonts w:ascii="Arial" w:eastAsia="ＭＳ 明朝" w:hAnsi="Arial" w:cs="Arial"/>
          <w:b/>
          <w:sz w:val="28"/>
          <w:szCs w:val="28"/>
          <w:u w:val="single"/>
          <w:lang w:eastAsia="ja-JP"/>
        </w:rPr>
        <w:t xml:space="preserve"> Sunrise Policy </w:t>
      </w:r>
    </w:p>
    <w:p w14:paraId="52AD0610" w14:textId="359914D9" w:rsidR="00E55310" w:rsidRPr="00E55310" w:rsidRDefault="00E55310" w:rsidP="00E55310">
      <w:pPr>
        <w:rPr>
          <w:rFonts w:ascii="Arial" w:eastAsia="ＭＳ 明朝" w:hAnsi="Arial" w:cs="Times New Roman"/>
          <w:color w:val="000000"/>
          <w:lang w:eastAsia="ja-JP"/>
        </w:rPr>
      </w:pPr>
      <w:r w:rsidRPr="00E55310">
        <w:rPr>
          <w:rFonts w:ascii="Arial" w:eastAsia="ＭＳ 明朝" w:hAnsi="Arial" w:cs="Times New Roman"/>
          <w:color w:val="000000"/>
          <w:lang w:eastAsia="ja-JP"/>
        </w:rPr>
        <w:t xml:space="preserve">Version 1.0 </w:t>
      </w:r>
      <w:bookmarkStart w:id="0" w:name="_GoBack"/>
      <w:bookmarkEnd w:id="0"/>
    </w:p>
    <w:p w14:paraId="52CE64CF" w14:textId="77777777" w:rsidR="00E55310" w:rsidRPr="00E55310" w:rsidRDefault="00E55310" w:rsidP="00E55310">
      <w:pPr>
        <w:widowControl w:val="0"/>
        <w:autoSpaceDE w:val="0"/>
        <w:autoSpaceDN w:val="0"/>
        <w:adjustRightInd w:val="0"/>
        <w:spacing w:after="160"/>
        <w:contextualSpacing/>
        <w:rPr>
          <w:rFonts w:ascii="Arial" w:eastAsia="ＭＳ 明朝" w:hAnsi="Arial" w:cs="Arial"/>
          <w:lang w:eastAsia="ja-JP"/>
        </w:rPr>
      </w:pPr>
    </w:p>
    <w:p w14:paraId="52FE4099" w14:textId="77777777" w:rsidR="00E55310" w:rsidRPr="00E55310" w:rsidRDefault="00E55310" w:rsidP="00E55310">
      <w:pPr>
        <w:contextualSpacing/>
        <w:rPr>
          <w:rFonts w:ascii="Arial" w:eastAsia="ＭＳ 明朝" w:hAnsi="Arial" w:cs="Times New Roman"/>
          <w:b/>
          <w:lang w:eastAsia="ja-JP"/>
        </w:rPr>
      </w:pPr>
      <w:r w:rsidRPr="00E55310">
        <w:rPr>
          <w:rFonts w:ascii="Arial" w:eastAsia="ＭＳ 明朝" w:hAnsi="Arial" w:cs="Times New Roman"/>
          <w:b/>
          <w:lang w:eastAsia="ja-JP"/>
        </w:rPr>
        <w:t xml:space="preserve">Summary </w:t>
      </w:r>
    </w:p>
    <w:p w14:paraId="7F0120E5" w14:textId="77777777" w:rsidR="00E55310" w:rsidRPr="00E55310" w:rsidRDefault="00E55310" w:rsidP="00E55310">
      <w:pPr>
        <w:contextualSpacing/>
        <w:rPr>
          <w:rFonts w:ascii="Arial" w:eastAsia="ＭＳ 明朝" w:hAnsi="Arial" w:cs="Times New Roman"/>
          <w:b/>
          <w:lang w:eastAsia="ja-JP"/>
        </w:rPr>
      </w:pPr>
    </w:p>
    <w:p w14:paraId="6957DFEF" w14:textId="77777777" w:rsidR="00E55310" w:rsidRPr="00E55310" w:rsidRDefault="00E55310" w:rsidP="00E55310">
      <w:pPr>
        <w:contextualSpacing/>
        <w:rPr>
          <w:rFonts w:ascii="Arial" w:eastAsia="ＭＳ 明朝" w:hAnsi="Arial" w:cs="Times New Roman"/>
          <w:lang w:eastAsia="ja-JP"/>
        </w:rPr>
      </w:pPr>
      <w:r w:rsidRPr="00E55310">
        <w:rPr>
          <w:rFonts w:ascii="Arial" w:eastAsia="ＭＳ 明朝" w:hAnsi="Arial" w:cs="Times New Roman"/>
          <w:lang w:eastAsia="ja-JP"/>
        </w:rPr>
        <w:t>This Sunrise Policy (the “Sunrise Policy”)</w:t>
      </w:r>
      <w:r w:rsidRPr="00E55310">
        <w:rPr>
          <w:rFonts w:ascii="Arial" w:eastAsia="ＭＳ 明朝" w:hAnsi="Arial" w:cs="Times New Roman"/>
          <w:color w:val="000000"/>
          <w:lang w:eastAsia="ja-JP"/>
        </w:rPr>
        <w:t xml:space="preserve">, to be read together with the Registration Agreement and the Launch &amp; Registration Policy, sets forth the terms and conditions governing </w:t>
      </w:r>
      <w:r w:rsidRPr="00E55310">
        <w:rPr>
          <w:rFonts w:ascii="Arial" w:eastAsia="ＭＳ 明朝" w:hAnsi="Arial" w:cs="Arial"/>
          <w:color w:val="000000"/>
          <w:lang w:eastAsia="ja-JP"/>
        </w:rPr>
        <w:t xml:space="preserve">Knock </w:t>
      </w:r>
      <w:proofErr w:type="spellStart"/>
      <w:r w:rsidRPr="00E55310">
        <w:rPr>
          <w:rFonts w:ascii="Arial" w:eastAsia="ＭＳ 明朝" w:hAnsi="Arial" w:cs="Arial"/>
          <w:color w:val="000000"/>
          <w:lang w:eastAsia="ja-JP"/>
        </w:rPr>
        <w:t>Knock</w:t>
      </w:r>
      <w:proofErr w:type="spellEnd"/>
      <w:r w:rsidRPr="00E55310">
        <w:rPr>
          <w:rFonts w:ascii="Arial" w:eastAsia="ＭＳ 明朝" w:hAnsi="Arial" w:cs="Arial"/>
          <w:color w:val="000000"/>
          <w:lang w:eastAsia="ja-JP"/>
        </w:rPr>
        <w:t xml:space="preserve"> WHOIS There, LLC’s (the “Registry,” “we,” “us,” “our”) </w:t>
      </w:r>
      <w:r w:rsidRPr="00E55310">
        <w:rPr>
          <w:rFonts w:ascii="Arial" w:eastAsia="ＭＳ 明朝" w:hAnsi="Arial" w:cs="Times New Roman"/>
          <w:color w:val="000000"/>
          <w:lang w:eastAsia="ja-JP"/>
        </w:rPr>
        <w:t>Sunrise Period</w:t>
      </w:r>
      <w:r w:rsidRPr="00E55310">
        <w:rPr>
          <w:rFonts w:ascii="Arial" w:eastAsia="ＭＳ 明朝" w:hAnsi="Arial" w:cs="Times New Roman"/>
          <w:lang w:eastAsia="ja-JP"/>
        </w:rPr>
        <w:t xml:space="preserve">. </w:t>
      </w:r>
    </w:p>
    <w:p w14:paraId="6B36BFA5" w14:textId="77777777" w:rsidR="00E55310" w:rsidRPr="00E55310" w:rsidRDefault="00E55310" w:rsidP="00E55310">
      <w:pPr>
        <w:spacing w:after="200"/>
        <w:contextualSpacing/>
        <w:rPr>
          <w:rFonts w:ascii="Arial" w:eastAsia="ＭＳ 明朝" w:hAnsi="Arial" w:cs="Arial"/>
          <w:b/>
          <w:lang w:eastAsia="ja-JP"/>
        </w:rPr>
      </w:pPr>
    </w:p>
    <w:p w14:paraId="2E630565" w14:textId="77777777" w:rsidR="00E55310" w:rsidRPr="00E55310" w:rsidRDefault="00E55310" w:rsidP="00E55310">
      <w:pPr>
        <w:spacing w:after="200"/>
        <w:contextualSpacing/>
        <w:rPr>
          <w:rFonts w:ascii="Arial" w:eastAsia="ＭＳ 明朝" w:hAnsi="Arial" w:cs="Arial"/>
          <w:b/>
          <w:lang w:eastAsia="ja-JP"/>
        </w:rPr>
      </w:pPr>
      <w:r w:rsidRPr="00E55310">
        <w:rPr>
          <w:rFonts w:ascii="Arial" w:eastAsia="ＭＳ 明朝" w:hAnsi="Arial" w:cs="Arial"/>
          <w:b/>
          <w:lang w:eastAsia="ja-JP"/>
        </w:rPr>
        <w:t>Sunrise Overview</w:t>
      </w:r>
    </w:p>
    <w:p w14:paraId="27D2AF43" w14:textId="77777777" w:rsidR="00E55310" w:rsidRPr="00E55310" w:rsidRDefault="00E55310" w:rsidP="00E55310">
      <w:pPr>
        <w:spacing w:after="200"/>
        <w:contextualSpacing/>
        <w:rPr>
          <w:rFonts w:ascii="Arial" w:eastAsia="ＭＳ 明朝" w:hAnsi="Arial" w:cs="Arial"/>
          <w:b/>
          <w:lang w:eastAsia="ja-JP"/>
        </w:rPr>
      </w:pPr>
    </w:p>
    <w:p w14:paraId="589A6053" w14:textId="77777777" w:rsidR="00E55310" w:rsidRPr="00E55310" w:rsidRDefault="00E55310" w:rsidP="00E55310">
      <w:pPr>
        <w:spacing w:after="200"/>
        <w:contextualSpacing/>
        <w:rPr>
          <w:rFonts w:ascii="Arial" w:eastAsia="ＭＳ 明朝" w:hAnsi="Arial" w:cs="Arial"/>
          <w:lang w:eastAsia="ja-JP"/>
        </w:rPr>
      </w:pPr>
      <w:r w:rsidRPr="00E55310">
        <w:rPr>
          <w:rFonts w:ascii="Arial" w:eastAsia="ＭＳ 明朝" w:hAnsi="Arial" w:cs="Arial"/>
          <w:lang w:eastAsia="ja-JP"/>
        </w:rPr>
        <w:t xml:space="preserve">Sunrise allows the holder of a trademark that has previously been verified by the officially mandated ICANN Trademark Clearinghouse (“Trademark Holder”) to notify us of its trademark. </w:t>
      </w:r>
    </w:p>
    <w:p w14:paraId="356E38D4" w14:textId="77777777" w:rsidR="00E55310" w:rsidRPr="00E55310" w:rsidRDefault="00E55310" w:rsidP="00E55310">
      <w:pPr>
        <w:spacing w:after="200"/>
        <w:contextualSpacing/>
        <w:rPr>
          <w:rFonts w:ascii="Arial" w:eastAsia="ＭＳ 明朝" w:hAnsi="Arial" w:cs="Arial"/>
          <w:lang w:eastAsia="ja-JP"/>
        </w:rPr>
      </w:pPr>
    </w:p>
    <w:p w14:paraId="6086ED56" w14:textId="77777777" w:rsidR="00E55310" w:rsidRPr="00E55310" w:rsidRDefault="00E55310" w:rsidP="00E55310">
      <w:pPr>
        <w:spacing w:after="200"/>
        <w:contextualSpacing/>
        <w:rPr>
          <w:rFonts w:ascii="Arial" w:eastAsia="ＭＳ 明朝" w:hAnsi="Arial" w:cs="Arial"/>
          <w:lang w:eastAsia="ja-JP"/>
        </w:rPr>
      </w:pPr>
      <w:r w:rsidRPr="00E55310">
        <w:rPr>
          <w:rFonts w:ascii="Arial" w:eastAsia="ＭＳ 明朝" w:hAnsi="Arial" w:cs="Arial"/>
          <w:lang w:eastAsia="ja-JP"/>
        </w:rPr>
        <w:t>Trademark Holders may apply for a domain name label that constitutes an “exact match” of their mark, in accordance with the Trademark Clearinghouse (“TMCH”)’s domain name matching rules. We will charge a Sunrise domain registration fee for registration of domain names during Sunrise (“Sunrise Price”).</w:t>
      </w:r>
    </w:p>
    <w:p w14:paraId="334BF1A8" w14:textId="77777777" w:rsidR="00E55310" w:rsidRPr="00E55310" w:rsidRDefault="00E55310" w:rsidP="00E55310">
      <w:pPr>
        <w:spacing w:after="200"/>
        <w:contextualSpacing/>
        <w:rPr>
          <w:rFonts w:ascii="Arial" w:eastAsia="ＭＳ 明朝" w:hAnsi="Arial" w:cs="Arial"/>
          <w:lang w:eastAsia="ja-JP"/>
        </w:rPr>
      </w:pPr>
    </w:p>
    <w:p w14:paraId="038285B6" w14:textId="77777777" w:rsidR="00E55310" w:rsidRPr="00E55310" w:rsidRDefault="00E55310" w:rsidP="00E55310">
      <w:pPr>
        <w:spacing w:after="200"/>
        <w:contextualSpacing/>
        <w:rPr>
          <w:rFonts w:ascii="Arial" w:eastAsia="ＭＳ 明朝" w:hAnsi="Arial" w:cs="Arial"/>
          <w:lang w:eastAsia="ja-JP"/>
        </w:rPr>
      </w:pPr>
      <w:r w:rsidRPr="00E55310">
        <w:rPr>
          <w:rFonts w:ascii="Arial" w:eastAsia="ＭＳ 明朝" w:hAnsi="Arial" w:cs="Arial"/>
          <w:lang w:eastAsia="ja-JP"/>
        </w:rPr>
        <w:t xml:space="preserve">The Trademark Holder is responsible for protecting any labels in which it has an interest. If a Trademark Holder fails to register any domain name during Sunrise, any other party is free to register that domain name during </w:t>
      </w:r>
      <w:proofErr w:type="spellStart"/>
      <w:r w:rsidRPr="00E55310">
        <w:rPr>
          <w:rFonts w:ascii="Arial" w:eastAsia="ＭＳ 明朝" w:hAnsi="Arial" w:cs="Arial"/>
          <w:lang w:eastAsia="ja-JP"/>
        </w:rPr>
        <w:t>Landrush</w:t>
      </w:r>
      <w:proofErr w:type="spellEnd"/>
      <w:r w:rsidRPr="00E55310">
        <w:rPr>
          <w:rFonts w:ascii="Arial" w:eastAsia="ＭＳ 明朝" w:hAnsi="Arial" w:cs="Arial"/>
          <w:lang w:eastAsia="ja-JP"/>
        </w:rPr>
        <w:t xml:space="preserve"> or General Availability, subject to Registry Policies, the TMCH Claims Service, and applicable laws and regulations.</w:t>
      </w:r>
    </w:p>
    <w:p w14:paraId="41505C20" w14:textId="77777777" w:rsidR="00E55310" w:rsidRPr="00E55310" w:rsidRDefault="00E55310" w:rsidP="00E55310">
      <w:pPr>
        <w:spacing w:after="200"/>
        <w:contextualSpacing/>
        <w:rPr>
          <w:rFonts w:ascii="Arial" w:eastAsia="ＭＳ 明朝" w:hAnsi="Arial" w:cs="Arial"/>
          <w:lang w:eastAsia="ja-JP"/>
        </w:rPr>
      </w:pPr>
    </w:p>
    <w:p w14:paraId="42EB1CA1" w14:textId="77777777" w:rsidR="00E55310" w:rsidRPr="00E55310" w:rsidRDefault="00E55310" w:rsidP="00E55310">
      <w:pPr>
        <w:spacing w:after="200"/>
        <w:contextualSpacing/>
        <w:rPr>
          <w:rFonts w:ascii="Arial" w:eastAsia="ＭＳ 明朝" w:hAnsi="Arial" w:cs="Arial"/>
          <w:lang w:eastAsia="ja-JP"/>
        </w:rPr>
      </w:pPr>
      <w:r w:rsidRPr="00E55310">
        <w:rPr>
          <w:rFonts w:ascii="Arial" w:eastAsia="ＭＳ 明朝" w:hAnsi="Arial" w:cs="Arial"/>
          <w:lang w:eastAsia="ja-JP"/>
        </w:rPr>
        <w:t xml:space="preserve">Multiple Trademark Holders with rights to a trademarked term that have applied for the same domain name will settle the contention through an auction, as more fully described below. </w:t>
      </w:r>
    </w:p>
    <w:p w14:paraId="50B620A2" w14:textId="77777777" w:rsidR="00E55310" w:rsidRPr="00E55310" w:rsidRDefault="00E55310" w:rsidP="00E55310">
      <w:pPr>
        <w:spacing w:after="200"/>
        <w:contextualSpacing/>
        <w:rPr>
          <w:rFonts w:ascii="Arial" w:eastAsia="ＭＳ 明朝" w:hAnsi="Arial" w:cs="Arial"/>
          <w:lang w:eastAsia="ja-JP"/>
        </w:rPr>
      </w:pPr>
    </w:p>
    <w:p w14:paraId="760EC003" w14:textId="77777777" w:rsidR="00E55310" w:rsidRPr="00E55310" w:rsidRDefault="00E55310" w:rsidP="00E55310">
      <w:pPr>
        <w:spacing w:after="200"/>
        <w:contextualSpacing/>
        <w:rPr>
          <w:rFonts w:ascii="Arial" w:eastAsia="ＭＳ 明朝" w:hAnsi="Arial" w:cs="Arial"/>
          <w:lang w:eastAsia="ja-JP"/>
        </w:rPr>
      </w:pPr>
      <w:r w:rsidRPr="00E55310">
        <w:rPr>
          <w:rFonts w:ascii="Arial" w:eastAsia="ＭＳ 明朝" w:hAnsi="Arial" w:cs="Arial"/>
          <w:lang w:eastAsia="ja-JP"/>
        </w:rPr>
        <w:t xml:space="preserve">Certain names may be withheld from Sunrise availability. For example, </w:t>
      </w:r>
      <w:proofErr w:type="spellStart"/>
      <w:r w:rsidRPr="00E55310">
        <w:rPr>
          <w:rFonts w:ascii="Arial" w:eastAsia="ＭＳ 明朝" w:hAnsi="Arial" w:cs="Arial"/>
          <w:lang w:eastAsia="ja-JP"/>
        </w:rPr>
        <w:t>sports.blog</w:t>
      </w:r>
      <w:proofErr w:type="spellEnd"/>
      <w:r w:rsidRPr="00E55310">
        <w:rPr>
          <w:rFonts w:ascii="Arial" w:eastAsia="ＭＳ 明朝" w:hAnsi="Arial" w:cs="Arial"/>
          <w:lang w:eastAsia="ja-JP"/>
        </w:rPr>
        <w:t xml:space="preserve"> may not be available during Sunrise, even if entities participating in Sunrise have a trademark on the term “sports.”</w:t>
      </w:r>
    </w:p>
    <w:p w14:paraId="2EE93923" w14:textId="77777777" w:rsidR="00E55310" w:rsidRPr="00E55310" w:rsidRDefault="00E55310" w:rsidP="00E55310">
      <w:pPr>
        <w:spacing w:after="200"/>
        <w:contextualSpacing/>
        <w:rPr>
          <w:rFonts w:ascii="Arial" w:eastAsia="ＭＳ 明朝" w:hAnsi="Arial" w:cs="Arial"/>
          <w:lang w:eastAsia="ja-JP"/>
        </w:rPr>
      </w:pPr>
    </w:p>
    <w:p w14:paraId="4441CBE8" w14:textId="77777777" w:rsidR="00E55310" w:rsidRPr="00E55310" w:rsidRDefault="00E55310" w:rsidP="00E55310">
      <w:pPr>
        <w:spacing w:after="200"/>
        <w:contextualSpacing/>
        <w:rPr>
          <w:rFonts w:ascii="Arial" w:eastAsia="ＭＳ 明朝" w:hAnsi="Arial" w:cs="Arial"/>
          <w:lang w:eastAsia="ja-JP"/>
        </w:rPr>
      </w:pPr>
      <w:r w:rsidRPr="00E55310">
        <w:rPr>
          <w:rFonts w:ascii="Arial" w:eastAsia="ＭＳ 明朝" w:hAnsi="Arial" w:cs="Arial"/>
          <w:lang w:eastAsia="ja-JP"/>
        </w:rPr>
        <w:t xml:space="preserve">We will implement an End-Date Sunrise, </w:t>
      </w:r>
      <w:r w:rsidRPr="00E55310">
        <w:rPr>
          <w:rFonts w:ascii="Arial" w:eastAsia="ＭＳ 明朝" w:hAnsi="Arial" w:cs="Arial"/>
          <w:color w:val="000000"/>
          <w:lang w:eastAsia="ja-JP"/>
        </w:rPr>
        <w:t xml:space="preserve">as defined in Section 2.1.1 of ICANN’s Trademark Clearinghouse Rights Protection Mechanism Requirements policy. </w:t>
      </w:r>
    </w:p>
    <w:p w14:paraId="2B38551B" w14:textId="77777777" w:rsidR="00E55310" w:rsidRPr="00E55310" w:rsidRDefault="00E55310" w:rsidP="00E55310">
      <w:pPr>
        <w:spacing w:after="200"/>
        <w:contextualSpacing/>
        <w:rPr>
          <w:rFonts w:ascii="Arial" w:eastAsia="ＭＳ 明朝" w:hAnsi="Arial" w:cs="Arial"/>
          <w:lang w:eastAsia="ja-JP"/>
        </w:rPr>
      </w:pPr>
    </w:p>
    <w:p w14:paraId="2B25ADC6" w14:textId="77777777" w:rsidR="00E55310" w:rsidRPr="00E55310" w:rsidRDefault="00E55310" w:rsidP="00E55310">
      <w:pPr>
        <w:spacing w:after="200"/>
        <w:contextualSpacing/>
        <w:rPr>
          <w:rFonts w:ascii="Arial" w:eastAsia="ＭＳ 明朝" w:hAnsi="Arial" w:cs="Arial"/>
          <w:b/>
          <w:lang w:eastAsia="ja-JP"/>
        </w:rPr>
      </w:pPr>
      <w:r w:rsidRPr="00E55310">
        <w:rPr>
          <w:rFonts w:ascii="Arial" w:eastAsia="ＭＳ 明朝" w:hAnsi="Arial" w:cs="Arial"/>
          <w:b/>
          <w:lang w:eastAsia="ja-JP"/>
        </w:rPr>
        <w:t>Sunrise Eligibility</w:t>
      </w:r>
    </w:p>
    <w:p w14:paraId="5F884AE9" w14:textId="77777777" w:rsidR="00E55310" w:rsidRPr="00E55310" w:rsidRDefault="00E55310" w:rsidP="00E55310">
      <w:pPr>
        <w:spacing w:after="200"/>
        <w:contextualSpacing/>
        <w:rPr>
          <w:rFonts w:ascii="Arial" w:eastAsia="ＭＳ 明朝" w:hAnsi="Arial" w:cs="Arial"/>
          <w:lang w:eastAsia="ja-JP"/>
        </w:rPr>
      </w:pPr>
    </w:p>
    <w:p w14:paraId="0AAEBF83" w14:textId="77777777" w:rsidR="00E55310" w:rsidRPr="00E55310" w:rsidRDefault="00E55310" w:rsidP="00E55310">
      <w:pPr>
        <w:spacing w:after="200"/>
        <w:contextualSpacing/>
        <w:rPr>
          <w:rFonts w:ascii="Arial" w:eastAsia="ＭＳ 明朝" w:hAnsi="Arial" w:cs="Arial"/>
          <w:lang w:eastAsia="ja-JP"/>
        </w:rPr>
      </w:pPr>
      <w:r w:rsidRPr="00E55310">
        <w:rPr>
          <w:rFonts w:ascii="Arial" w:eastAsia="ＭＳ 明朝" w:hAnsi="Arial" w:cs="Arial"/>
          <w:lang w:eastAsia="ja-JP"/>
        </w:rPr>
        <w:t xml:space="preserve">In addition to the eligibility requirements set forth in our Launch &amp; Registration Policy, we will abide by all policies and procedures adopted by the TMCH. The TMCH will maintain Sunrise Eligibility Requirements </w:t>
      </w:r>
      <w:r w:rsidRPr="001C28D8">
        <w:rPr>
          <w:rFonts w:ascii="Arial" w:eastAsia="ＭＳ 明朝" w:hAnsi="Arial" w:cs="Arial"/>
          <w:lang w:eastAsia="ja-JP"/>
        </w:rPr>
        <w:t>[http://www.trademark-clearinghouse.com/content/who-can-apply],</w:t>
      </w:r>
      <w:r w:rsidRPr="00E55310">
        <w:rPr>
          <w:rFonts w:ascii="Arial" w:eastAsia="ＭＳ 明朝" w:hAnsi="Arial" w:cs="Arial"/>
          <w:lang w:eastAsia="ja-JP"/>
        </w:rPr>
        <w:t xml:space="preserve"> and validate and authenticate marks as applicable. We will only allow trademark holders with a valid signed mark data </w:t>
      </w:r>
      <w:r w:rsidRPr="00E55310">
        <w:rPr>
          <w:rFonts w:ascii="Arial" w:eastAsia="ＭＳ 明朝" w:hAnsi="Arial" w:cs="Arial"/>
          <w:lang w:eastAsia="ja-JP"/>
        </w:rPr>
        <w:lastRenderedPageBreak/>
        <w:t xml:space="preserve">(SMD) file issued by the TMCH to apply for and register exact match domain names. </w:t>
      </w:r>
    </w:p>
    <w:p w14:paraId="6CF5C985" w14:textId="77777777" w:rsidR="00E55310" w:rsidRPr="00E55310" w:rsidRDefault="00E55310" w:rsidP="00E55310">
      <w:pPr>
        <w:spacing w:after="200"/>
        <w:contextualSpacing/>
        <w:rPr>
          <w:rFonts w:ascii="Arial" w:eastAsia="ＭＳ 明朝" w:hAnsi="Arial" w:cs="Arial"/>
          <w:b/>
          <w:lang w:eastAsia="ja-JP"/>
        </w:rPr>
      </w:pPr>
    </w:p>
    <w:p w14:paraId="2C40F7B7" w14:textId="77777777" w:rsidR="00E55310" w:rsidRPr="00E55310" w:rsidRDefault="00E55310" w:rsidP="00E55310">
      <w:pPr>
        <w:spacing w:after="200"/>
        <w:contextualSpacing/>
        <w:rPr>
          <w:rFonts w:ascii="Arial" w:eastAsia="ＭＳ 明朝" w:hAnsi="Arial" w:cs="Arial"/>
          <w:lang w:eastAsia="ja-JP"/>
        </w:rPr>
      </w:pPr>
      <w:r w:rsidRPr="00E55310">
        <w:rPr>
          <w:rFonts w:ascii="Arial" w:eastAsia="ＭＳ 明朝" w:hAnsi="Arial" w:cs="Arial"/>
          <w:b/>
          <w:lang w:eastAsia="ja-JP"/>
        </w:rPr>
        <w:t>Fees</w:t>
      </w:r>
    </w:p>
    <w:p w14:paraId="536BFFD2" w14:textId="77777777" w:rsidR="00E55310" w:rsidRPr="00E55310" w:rsidRDefault="00E55310" w:rsidP="00E55310">
      <w:pPr>
        <w:spacing w:after="200"/>
        <w:contextualSpacing/>
        <w:rPr>
          <w:rFonts w:ascii="Arial" w:eastAsia="ＭＳ 明朝" w:hAnsi="Arial" w:cs="Arial"/>
          <w:lang w:eastAsia="ja-JP"/>
        </w:rPr>
      </w:pPr>
    </w:p>
    <w:p w14:paraId="7141FB0B" w14:textId="77777777" w:rsidR="00E55310" w:rsidRPr="00E55310" w:rsidRDefault="00E55310" w:rsidP="00E55310">
      <w:pPr>
        <w:spacing w:after="200"/>
        <w:contextualSpacing/>
        <w:rPr>
          <w:rFonts w:ascii="Arial" w:eastAsia="ＭＳ 明朝" w:hAnsi="Arial" w:cs="Arial"/>
          <w:lang w:eastAsia="ja-JP"/>
        </w:rPr>
      </w:pPr>
      <w:r w:rsidRPr="00E55310">
        <w:rPr>
          <w:rFonts w:ascii="Arial" w:eastAsia="ＭＳ 明朝" w:hAnsi="Arial" w:cs="Arial"/>
          <w:lang w:eastAsia="ja-JP"/>
        </w:rPr>
        <w:t>Fees that may be collected during Sunrise include:</w:t>
      </w:r>
    </w:p>
    <w:p w14:paraId="0B48DA72" w14:textId="77777777" w:rsidR="00E55310" w:rsidRPr="00E55310" w:rsidRDefault="00E55310" w:rsidP="00E55310">
      <w:pPr>
        <w:numPr>
          <w:ilvl w:val="0"/>
          <w:numId w:val="7"/>
        </w:numPr>
        <w:spacing w:after="200"/>
        <w:contextualSpacing/>
        <w:rPr>
          <w:rFonts w:ascii="Arial" w:eastAsia="ＭＳ 明朝" w:hAnsi="Arial" w:cs="Arial"/>
          <w:lang w:eastAsia="ja-JP"/>
        </w:rPr>
      </w:pPr>
      <w:r w:rsidRPr="00E55310">
        <w:rPr>
          <w:rFonts w:ascii="Arial" w:eastAsia="ＭＳ 明朝" w:hAnsi="Arial" w:cs="Arial"/>
          <w:lang w:eastAsia="ja-JP"/>
        </w:rPr>
        <w:t>Application fees</w:t>
      </w:r>
    </w:p>
    <w:p w14:paraId="04F10E3A" w14:textId="77777777" w:rsidR="00E55310" w:rsidRPr="00E55310" w:rsidRDefault="00E55310" w:rsidP="00E55310">
      <w:pPr>
        <w:numPr>
          <w:ilvl w:val="0"/>
          <w:numId w:val="7"/>
        </w:numPr>
        <w:spacing w:after="200"/>
        <w:contextualSpacing/>
        <w:rPr>
          <w:rFonts w:ascii="Arial" w:eastAsia="ＭＳ 明朝" w:hAnsi="Arial" w:cs="Arial"/>
          <w:lang w:eastAsia="ja-JP"/>
        </w:rPr>
      </w:pPr>
      <w:r w:rsidRPr="00E55310">
        <w:rPr>
          <w:rFonts w:ascii="Arial" w:eastAsia="ＭＳ 明朝" w:hAnsi="Arial" w:cs="Arial"/>
          <w:lang w:eastAsia="ja-JP"/>
        </w:rPr>
        <w:t xml:space="preserve">Sunrise Domain Registration Fee </w:t>
      </w:r>
    </w:p>
    <w:p w14:paraId="2EBB6D23" w14:textId="77777777" w:rsidR="00E55310" w:rsidRDefault="00E55310" w:rsidP="00E55310">
      <w:pPr>
        <w:numPr>
          <w:ilvl w:val="0"/>
          <w:numId w:val="7"/>
        </w:numPr>
        <w:spacing w:after="200"/>
        <w:contextualSpacing/>
        <w:rPr>
          <w:rFonts w:ascii="Arial" w:eastAsia="ＭＳ 明朝" w:hAnsi="Arial" w:cs="Arial"/>
          <w:lang w:eastAsia="ja-JP"/>
        </w:rPr>
      </w:pPr>
      <w:r w:rsidRPr="00E55310">
        <w:rPr>
          <w:rFonts w:ascii="Arial" w:eastAsia="ＭＳ 明朝" w:hAnsi="Arial" w:cs="Arial"/>
          <w:lang w:eastAsia="ja-JP"/>
        </w:rPr>
        <w:t>Winning auction bid</w:t>
      </w:r>
    </w:p>
    <w:p w14:paraId="675695AE" w14:textId="77777777" w:rsidR="00E55310" w:rsidRPr="00E55310" w:rsidRDefault="00E55310" w:rsidP="00E55310">
      <w:pPr>
        <w:spacing w:after="200"/>
        <w:ind w:left="720"/>
        <w:contextualSpacing/>
        <w:rPr>
          <w:rFonts w:ascii="Arial" w:eastAsia="ＭＳ 明朝" w:hAnsi="Arial" w:cs="Arial"/>
          <w:lang w:eastAsia="ja-JP"/>
        </w:rPr>
      </w:pPr>
    </w:p>
    <w:p w14:paraId="7FB9165D" w14:textId="77777777" w:rsidR="00E55310" w:rsidRPr="00E55310" w:rsidRDefault="00E55310" w:rsidP="00E55310">
      <w:pPr>
        <w:spacing w:after="200"/>
        <w:contextualSpacing/>
        <w:rPr>
          <w:rFonts w:ascii="Arial" w:eastAsia="ＭＳ 明朝" w:hAnsi="Arial" w:cs="Arial"/>
          <w:lang w:eastAsia="ja-JP"/>
        </w:rPr>
      </w:pPr>
      <w:r w:rsidRPr="00E55310">
        <w:rPr>
          <w:rFonts w:ascii="Arial" w:eastAsia="ＭＳ 明朝" w:hAnsi="Arial" w:cs="Arial"/>
          <w:lang w:eastAsia="ja-JP"/>
        </w:rPr>
        <w:t>The renewal price for domain names registered during Sunrise will be the Sunrise Price. We may adjust the renewal price with one hundred eighty (180) days’ notice. The registrant may renew the domain at the Sunrise Price during the one hundred eighty (180) day notice period.</w:t>
      </w:r>
    </w:p>
    <w:p w14:paraId="7A9BEC09" w14:textId="77777777" w:rsidR="00E55310" w:rsidRPr="00E55310" w:rsidRDefault="00E55310" w:rsidP="00E55310">
      <w:pPr>
        <w:spacing w:after="200"/>
        <w:contextualSpacing/>
        <w:rPr>
          <w:rFonts w:ascii="Arial" w:eastAsia="ＭＳ 明朝" w:hAnsi="Arial" w:cs="Arial"/>
          <w:lang w:eastAsia="ja-JP"/>
        </w:rPr>
      </w:pPr>
    </w:p>
    <w:p w14:paraId="4ABB1805" w14:textId="77777777" w:rsidR="00E55310" w:rsidRPr="00E55310" w:rsidRDefault="00E55310" w:rsidP="00E55310">
      <w:pPr>
        <w:spacing w:after="200"/>
        <w:contextualSpacing/>
        <w:rPr>
          <w:rFonts w:ascii="Arial" w:eastAsia="ＭＳ 明朝" w:hAnsi="Arial" w:cs="Arial"/>
          <w:lang w:eastAsia="ja-JP"/>
        </w:rPr>
      </w:pPr>
      <w:r w:rsidRPr="00E55310">
        <w:rPr>
          <w:rFonts w:ascii="Arial" w:eastAsia="ＭＳ 明朝" w:hAnsi="Arial" w:cs="Arial"/>
          <w:b/>
          <w:lang w:eastAsia="ja-JP"/>
        </w:rPr>
        <w:t>Auctions</w:t>
      </w:r>
    </w:p>
    <w:p w14:paraId="06955050" w14:textId="77777777" w:rsidR="00E55310" w:rsidRPr="00E55310" w:rsidRDefault="00E55310" w:rsidP="00E55310">
      <w:pPr>
        <w:spacing w:after="200"/>
        <w:contextualSpacing/>
        <w:rPr>
          <w:rFonts w:ascii="Arial" w:eastAsia="ＭＳ 明朝" w:hAnsi="Arial" w:cs="Arial"/>
          <w:lang w:eastAsia="ja-JP"/>
        </w:rPr>
      </w:pPr>
    </w:p>
    <w:p w14:paraId="2936AE08" w14:textId="77777777" w:rsidR="00E55310" w:rsidRPr="00E55310" w:rsidRDefault="00E55310" w:rsidP="00E55310">
      <w:pPr>
        <w:spacing w:after="200"/>
        <w:contextualSpacing/>
        <w:rPr>
          <w:rFonts w:ascii="Arial" w:eastAsia="ＭＳ 明朝" w:hAnsi="Arial" w:cs="Arial"/>
          <w:lang w:eastAsia="ja-JP"/>
        </w:rPr>
      </w:pPr>
      <w:r w:rsidRPr="00E55310">
        <w:rPr>
          <w:rFonts w:ascii="Arial" w:eastAsia="ＭＳ 明朝" w:hAnsi="Arial" w:cs="Arial"/>
          <w:lang w:eastAsia="ja-JP"/>
        </w:rPr>
        <w:t xml:space="preserve">If multiple Trademark Holders apply to register an identical domain name during Sunrise, conflicting applications will be settled by an auction conducted by Registry or a third party auction provider. However, parties are not obliged to participate in an auction; they may chose instead to withdraw the Sunrise application or privately resolve their contending applications. </w:t>
      </w:r>
    </w:p>
    <w:p w14:paraId="31BF3FC0" w14:textId="77777777" w:rsidR="00E55310" w:rsidRPr="00E55310" w:rsidRDefault="00E55310" w:rsidP="00E55310">
      <w:pPr>
        <w:spacing w:after="200"/>
        <w:contextualSpacing/>
        <w:rPr>
          <w:rFonts w:ascii="Arial" w:eastAsia="ＭＳ 明朝" w:hAnsi="Arial" w:cs="Arial"/>
          <w:strike/>
          <w:lang w:eastAsia="ja-JP"/>
        </w:rPr>
      </w:pPr>
    </w:p>
    <w:p w14:paraId="10FD703C" w14:textId="77777777" w:rsidR="00E55310" w:rsidRPr="00E55310" w:rsidRDefault="00E55310" w:rsidP="00E55310">
      <w:pPr>
        <w:spacing w:after="200"/>
        <w:contextualSpacing/>
        <w:rPr>
          <w:rFonts w:ascii="Arial" w:eastAsia="ＭＳ 明朝" w:hAnsi="Arial" w:cs="Arial"/>
          <w:lang w:eastAsia="ja-JP"/>
        </w:rPr>
      </w:pPr>
      <w:r w:rsidRPr="00E55310">
        <w:rPr>
          <w:rFonts w:ascii="Arial" w:eastAsia="ＭＳ 明朝" w:hAnsi="Arial" w:cs="Arial"/>
          <w:lang w:eastAsia="ja-JP"/>
        </w:rPr>
        <w:t>The outcome of any auction shall be deemed final and binding upon the parties. A party that either loses an auction or withdraws its Sunrise application shall receive a refund of the Sunrise domain registration fee.</w:t>
      </w:r>
    </w:p>
    <w:p w14:paraId="65C76C36" w14:textId="77777777" w:rsidR="00E55310" w:rsidRPr="00E55310" w:rsidRDefault="00E55310" w:rsidP="00E55310">
      <w:pPr>
        <w:spacing w:after="200"/>
        <w:contextualSpacing/>
        <w:rPr>
          <w:rFonts w:ascii="Arial" w:eastAsia="ＭＳ 明朝" w:hAnsi="Arial" w:cs="Arial"/>
          <w:lang w:eastAsia="ja-JP"/>
        </w:rPr>
      </w:pPr>
    </w:p>
    <w:p w14:paraId="2E8F3939" w14:textId="77777777" w:rsidR="00E55310" w:rsidRPr="00E55310" w:rsidRDefault="00E55310" w:rsidP="00E55310">
      <w:pPr>
        <w:spacing w:after="200"/>
        <w:contextualSpacing/>
        <w:rPr>
          <w:rFonts w:ascii="Arial" w:eastAsia="ＭＳ 明朝" w:hAnsi="Arial" w:cs="Arial"/>
          <w:b/>
          <w:lang w:eastAsia="ja-JP"/>
        </w:rPr>
      </w:pPr>
      <w:r w:rsidRPr="00E55310">
        <w:rPr>
          <w:rFonts w:ascii="Arial" w:eastAsia="ＭＳ 明朝" w:hAnsi="Arial" w:cs="Arial"/>
          <w:b/>
          <w:lang w:eastAsia="ja-JP"/>
        </w:rPr>
        <w:t>Sunrise Dispute Resolution</w:t>
      </w:r>
    </w:p>
    <w:p w14:paraId="4792FEDF" w14:textId="77777777" w:rsidR="00E55310" w:rsidRPr="00E55310" w:rsidRDefault="00E55310" w:rsidP="00E55310">
      <w:pPr>
        <w:spacing w:after="200"/>
        <w:contextualSpacing/>
        <w:rPr>
          <w:rFonts w:ascii="Arial" w:eastAsia="ＭＳ 明朝" w:hAnsi="Arial" w:cs="Arial"/>
          <w:b/>
          <w:lang w:eastAsia="ja-JP"/>
        </w:rPr>
      </w:pPr>
    </w:p>
    <w:p w14:paraId="6D488F92" w14:textId="77777777" w:rsidR="00E55310" w:rsidRPr="00E55310" w:rsidRDefault="00E55310" w:rsidP="00E55310">
      <w:pPr>
        <w:spacing w:after="200"/>
        <w:contextualSpacing/>
        <w:rPr>
          <w:rFonts w:ascii="Arial" w:eastAsia="ＭＳ 明朝" w:hAnsi="Arial" w:cs="Arial"/>
          <w:lang w:eastAsia="ja-JP"/>
        </w:rPr>
      </w:pPr>
      <w:r w:rsidRPr="00E55310">
        <w:rPr>
          <w:rFonts w:ascii="Arial" w:eastAsia="ＭＳ 明朝" w:hAnsi="Arial" w:cs="Arial"/>
          <w:lang w:eastAsia="ja-JP"/>
        </w:rPr>
        <w:t xml:space="preserve">Disputes regarding the TLD Sunrise Period will be managed per </w:t>
      </w:r>
      <w:proofErr w:type="gramStart"/>
      <w:r w:rsidRPr="00E55310">
        <w:rPr>
          <w:rFonts w:ascii="Arial" w:eastAsia="ＭＳ 明朝" w:hAnsi="Arial" w:cs="Arial"/>
          <w:lang w:eastAsia="ja-JP"/>
        </w:rPr>
        <w:t>the our</w:t>
      </w:r>
      <w:proofErr w:type="gramEnd"/>
      <w:r w:rsidRPr="00E55310">
        <w:rPr>
          <w:rFonts w:ascii="Arial" w:eastAsia="ＭＳ 明朝" w:hAnsi="Arial" w:cs="Arial"/>
          <w:lang w:eastAsia="ja-JP"/>
        </w:rPr>
        <w:t xml:space="preserve"> Sunrise Dispute Resolution Policy.</w:t>
      </w:r>
    </w:p>
    <w:p w14:paraId="13B8B6B9" w14:textId="77777777" w:rsidR="00E55310" w:rsidRPr="00E55310" w:rsidRDefault="00E55310" w:rsidP="00E55310">
      <w:pPr>
        <w:spacing w:after="200"/>
        <w:contextualSpacing/>
        <w:rPr>
          <w:rFonts w:ascii="Arial" w:eastAsia="ＭＳ 明朝" w:hAnsi="Arial" w:cs="Arial"/>
          <w:b/>
          <w:lang w:eastAsia="ja-JP"/>
        </w:rPr>
      </w:pPr>
    </w:p>
    <w:p w14:paraId="3046933A" w14:textId="77777777" w:rsidR="00E55310" w:rsidRPr="00E55310" w:rsidRDefault="00E55310" w:rsidP="00E55310">
      <w:pPr>
        <w:contextualSpacing/>
        <w:rPr>
          <w:rFonts w:ascii="Arial" w:eastAsia="ＭＳ 明朝" w:hAnsi="Arial" w:cs="Times New Roman"/>
          <w:b/>
          <w:lang w:eastAsia="ja-JP"/>
        </w:rPr>
      </w:pPr>
      <w:r w:rsidRPr="00E55310">
        <w:rPr>
          <w:rFonts w:ascii="Arial" w:eastAsia="ＭＳ 明朝" w:hAnsi="Arial" w:cs="Times New Roman"/>
          <w:b/>
          <w:lang w:eastAsia="ja-JP"/>
        </w:rPr>
        <w:t xml:space="preserve">Amendment </w:t>
      </w:r>
    </w:p>
    <w:p w14:paraId="1E8ADE81" w14:textId="77777777" w:rsidR="00E55310" w:rsidRPr="00E55310" w:rsidRDefault="00E55310" w:rsidP="00E55310">
      <w:pPr>
        <w:contextualSpacing/>
        <w:rPr>
          <w:rFonts w:ascii="Arial" w:eastAsia="ＭＳ 明朝" w:hAnsi="Arial" w:cs="Times New Roman"/>
          <w:b/>
          <w:lang w:eastAsia="ja-JP"/>
        </w:rPr>
      </w:pPr>
    </w:p>
    <w:p w14:paraId="5086CAD0" w14:textId="77777777" w:rsidR="00E55310" w:rsidRPr="00E55310" w:rsidRDefault="00E55310" w:rsidP="00E55310">
      <w:pPr>
        <w:contextualSpacing/>
        <w:rPr>
          <w:rFonts w:ascii="Arial" w:eastAsia="ＭＳ 明朝" w:hAnsi="Arial" w:cs="Arial"/>
          <w:color w:val="000000"/>
          <w:lang w:eastAsia="ja-JP"/>
        </w:rPr>
      </w:pPr>
      <w:r w:rsidRPr="00E55310">
        <w:rPr>
          <w:rFonts w:ascii="Arial" w:eastAsia="ＭＳ 明朝" w:hAnsi="Arial" w:cs="Arial"/>
          <w:color w:val="000000"/>
          <w:lang w:eastAsia="ja-JP"/>
        </w:rPr>
        <w:t xml:space="preserve">Please note that we may amend or modify this Sunrise Policy from time to time, at our sole discretion. Any amendments or modifications to this </w:t>
      </w:r>
      <w:proofErr w:type="spellStart"/>
      <w:r w:rsidRPr="00E55310">
        <w:rPr>
          <w:rFonts w:ascii="Arial" w:eastAsia="ＭＳ 明朝" w:hAnsi="Arial" w:cs="Arial"/>
          <w:color w:val="000000"/>
          <w:lang w:eastAsia="ja-JP"/>
        </w:rPr>
        <w:t>Sunise</w:t>
      </w:r>
      <w:proofErr w:type="spellEnd"/>
      <w:r w:rsidRPr="00E55310">
        <w:rPr>
          <w:rFonts w:ascii="Arial" w:eastAsia="ＭＳ 明朝" w:hAnsi="Arial" w:cs="Arial"/>
          <w:color w:val="000000"/>
          <w:lang w:eastAsia="ja-JP"/>
        </w:rPr>
        <w:t xml:space="preserve"> Policy shall be effective </w:t>
      </w:r>
      <w:proofErr w:type="gramStart"/>
      <w:r w:rsidRPr="00E55310">
        <w:rPr>
          <w:rFonts w:ascii="Arial" w:eastAsia="ＭＳ 明朝" w:hAnsi="Arial" w:cs="Arial"/>
          <w:color w:val="000000"/>
          <w:lang w:eastAsia="ja-JP"/>
        </w:rPr>
        <w:t>thirty (30) days</w:t>
      </w:r>
      <w:proofErr w:type="gramEnd"/>
      <w:r w:rsidRPr="00E55310">
        <w:rPr>
          <w:rFonts w:ascii="Arial" w:eastAsia="ＭＳ 明朝" w:hAnsi="Arial" w:cs="Arial"/>
          <w:color w:val="000000"/>
          <w:lang w:eastAsia="ja-JP"/>
        </w:rPr>
        <w:t xml:space="preserve"> after the initial date of posting such amendments or modifications on the Registry Website and such amendments shall be binding upon all affected parties, including without limitation, Domain Name Registrants, registrars, and ICANN.</w:t>
      </w:r>
    </w:p>
    <w:p w14:paraId="5E1F6022" w14:textId="77777777" w:rsidR="00E55310" w:rsidRPr="00E55310" w:rsidRDefault="00E55310" w:rsidP="00E55310">
      <w:pPr>
        <w:contextualSpacing/>
        <w:rPr>
          <w:rFonts w:ascii="Arial" w:eastAsia="ＭＳ 明朝" w:hAnsi="Arial" w:cs="Times New Roman"/>
          <w:lang w:eastAsia="ja-JP"/>
        </w:rPr>
      </w:pPr>
    </w:p>
    <w:p w14:paraId="74B7D8A2" w14:textId="77777777" w:rsidR="00E55310" w:rsidRPr="00E55310" w:rsidRDefault="00E55310" w:rsidP="00E55310">
      <w:pPr>
        <w:spacing w:after="200"/>
        <w:rPr>
          <w:rFonts w:ascii="Arial" w:eastAsia="ＭＳ 明朝" w:hAnsi="Arial" w:cs="Times New Roman"/>
          <w:lang w:eastAsia="ja-JP"/>
        </w:rPr>
      </w:pPr>
    </w:p>
    <w:p w14:paraId="4BFEA85A" w14:textId="77777777" w:rsidR="00E55310" w:rsidRPr="00356784" w:rsidRDefault="00E55310" w:rsidP="00E55310">
      <w:pPr>
        <w:rPr>
          <w:rFonts w:ascii="Times" w:hAnsi="Times" w:cs="Times New Roman"/>
        </w:rPr>
      </w:pPr>
    </w:p>
    <w:p w14:paraId="038D54F3" w14:textId="77777777" w:rsidR="00E55310" w:rsidRPr="00356784" w:rsidRDefault="00E55310" w:rsidP="00E55310">
      <w:pPr>
        <w:rPr>
          <w:rFonts w:ascii="Times" w:eastAsia="Times New Roman" w:hAnsi="Times" w:cs="Times New Roman"/>
        </w:rPr>
      </w:pPr>
    </w:p>
    <w:p w14:paraId="60008FFE" w14:textId="77777777" w:rsidR="00E55310" w:rsidRPr="00356784" w:rsidRDefault="00E55310" w:rsidP="00E55310">
      <w:pPr>
        <w:rPr>
          <w:rFonts w:ascii="Times" w:eastAsia="Times New Roman" w:hAnsi="Times" w:cs="Times New Roman"/>
        </w:rPr>
      </w:pPr>
    </w:p>
    <w:p w14:paraId="12CDEE3F" w14:textId="77777777" w:rsidR="0075688E" w:rsidRDefault="0075688E" w:rsidP="00E90761">
      <w:pPr>
        <w:widowControl w:val="0"/>
        <w:autoSpaceDE w:val="0"/>
        <w:autoSpaceDN w:val="0"/>
        <w:adjustRightInd w:val="0"/>
        <w:spacing w:after="160"/>
        <w:contextualSpacing/>
      </w:pPr>
    </w:p>
    <w:sectPr w:rsidR="0075688E" w:rsidSect="00F41259">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834BD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968AD" w14:textId="77777777" w:rsidR="00FD4B9F" w:rsidRDefault="00FD4B9F" w:rsidP="00E55310">
      <w:r>
        <w:separator/>
      </w:r>
    </w:p>
  </w:endnote>
  <w:endnote w:type="continuationSeparator" w:id="0">
    <w:p w14:paraId="163D4727" w14:textId="77777777" w:rsidR="00FD4B9F" w:rsidRDefault="00FD4B9F" w:rsidP="00E55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EC51B" w14:textId="77777777" w:rsidR="00FD4B9F" w:rsidRDefault="00FD4B9F" w:rsidP="00E55310">
      <w:r>
        <w:separator/>
      </w:r>
    </w:p>
  </w:footnote>
  <w:footnote w:type="continuationSeparator" w:id="0">
    <w:p w14:paraId="6CC74879" w14:textId="77777777" w:rsidR="00FD4B9F" w:rsidRDefault="00FD4B9F" w:rsidP="00E5531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D97"/>
    <w:multiLevelType w:val="hybridMultilevel"/>
    <w:tmpl w:val="37067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D6871"/>
    <w:multiLevelType w:val="hybridMultilevel"/>
    <w:tmpl w:val="F9D28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D20FEF"/>
    <w:multiLevelType w:val="hybridMultilevel"/>
    <w:tmpl w:val="0804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8029CB"/>
    <w:multiLevelType w:val="hybridMultilevel"/>
    <w:tmpl w:val="0F28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8344EE"/>
    <w:multiLevelType w:val="hybridMultilevel"/>
    <w:tmpl w:val="6176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ED4B6A"/>
    <w:multiLevelType w:val="hybridMultilevel"/>
    <w:tmpl w:val="B87C0C8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660413F"/>
    <w:multiLevelType w:val="hybridMultilevel"/>
    <w:tmpl w:val="B7A81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B05CDD"/>
    <w:multiLevelType w:val="hybridMultilevel"/>
    <w:tmpl w:val="FC7E2CE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51A4A07"/>
    <w:multiLevelType w:val="hybridMultilevel"/>
    <w:tmpl w:val="C1C64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FB3D3F"/>
    <w:multiLevelType w:val="hybridMultilevel"/>
    <w:tmpl w:val="B87C0C8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5027A4D"/>
    <w:multiLevelType w:val="hybridMultilevel"/>
    <w:tmpl w:val="84AAFE96"/>
    <w:lvl w:ilvl="0" w:tplc="544C58E2">
      <w:start w:val="1"/>
      <w:numFmt w:val="lowerRoman"/>
      <w:lvlText w:val="(%1)"/>
      <w:lvlJc w:val="left"/>
      <w:pPr>
        <w:ind w:left="2160" w:hanging="720"/>
      </w:pPr>
      <w:rPr>
        <w:rFonts w:cs="Georgia"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E2C1462"/>
    <w:multiLevelType w:val="hybridMultilevel"/>
    <w:tmpl w:val="3488C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E50C45"/>
    <w:multiLevelType w:val="hybridMultilevel"/>
    <w:tmpl w:val="68062CB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2EF31D2"/>
    <w:multiLevelType w:val="hybridMultilevel"/>
    <w:tmpl w:val="05FE591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4F35C7"/>
    <w:multiLevelType w:val="hybridMultilevel"/>
    <w:tmpl w:val="A12EE12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7706FD9"/>
    <w:multiLevelType w:val="hybridMultilevel"/>
    <w:tmpl w:val="61E86058"/>
    <w:name w:val="zzmpSpec1||Spec 1|3|1|1|5|0|41||1|0|1||1|2|32||1|2|32||1|2|32||1|2|32||1|2|32||1|0|0||1|0|0||222322222"/>
    <w:lvl w:ilvl="0" w:tplc="396680D2">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43D1C6C"/>
    <w:multiLevelType w:val="hybridMultilevel"/>
    <w:tmpl w:val="0276CA8A"/>
    <w:lvl w:ilvl="0" w:tplc="396680D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AE263E"/>
    <w:multiLevelType w:val="hybridMultilevel"/>
    <w:tmpl w:val="5326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2"/>
  </w:num>
  <w:num w:numId="4">
    <w:abstractNumId w:val="17"/>
  </w:num>
  <w:num w:numId="5">
    <w:abstractNumId w:val="3"/>
  </w:num>
  <w:num w:numId="6">
    <w:abstractNumId w:val="4"/>
  </w:num>
  <w:num w:numId="7">
    <w:abstractNumId w:val="11"/>
  </w:num>
  <w:num w:numId="8">
    <w:abstractNumId w:val="5"/>
  </w:num>
  <w:num w:numId="9">
    <w:abstractNumId w:val="13"/>
  </w:num>
  <w:num w:numId="10">
    <w:abstractNumId w:val="9"/>
  </w:num>
  <w:num w:numId="11">
    <w:abstractNumId w:val="7"/>
  </w:num>
  <w:num w:numId="12">
    <w:abstractNumId w:val="12"/>
  </w:num>
  <w:num w:numId="13">
    <w:abstractNumId w:val="14"/>
  </w:num>
  <w:num w:numId="14">
    <w:abstractNumId w:val="1"/>
  </w:num>
  <w:num w:numId="15">
    <w:abstractNumId w:val="8"/>
  </w:num>
  <w:num w:numId="16">
    <w:abstractNumId w:val="0"/>
  </w:num>
  <w:num w:numId="17">
    <w:abstractNumId w:val="6"/>
  </w:num>
  <w:num w:numId="18">
    <w:abstractNumId w:val="1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E49"/>
    <w:rsid w:val="000369EF"/>
    <w:rsid w:val="00124AA1"/>
    <w:rsid w:val="001C28D8"/>
    <w:rsid w:val="0075688E"/>
    <w:rsid w:val="007E2E8B"/>
    <w:rsid w:val="00995A96"/>
    <w:rsid w:val="00DD5E49"/>
    <w:rsid w:val="00E55310"/>
    <w:rsid w:val="00E90761"/>
    <w:rsid w:val="00F41259"/>
    <w:rsid w:val="00FD4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B391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E49"/>
    <w:pPr>
      <w:spacing w:after="160" w:line="259" w:lineRule="auto"/>
      <w:ind w:left="720"/>
      <w:contextualSpacing/>
    </w:pPr>
    <w:rPr>
      <w:rFonts w:eastAsiaTheme="minorHAnsi"/>
      <w:sz w:val="22"/>
      <w:szCs w:val="22"/>
    </w:rPr>
  </w:style>
  <w:style w:type="table" w:styleId="LightList-Accent3">
    <w:name w:val="Light List Accent 3"/>
    <w:basedOn w:val="TableNormal"/>
    <w:uiPriority w:val="61"/>
    <w:rsid w:val="00DD5E49"/>
    <w:rPr>
      <w:lang w:val="en-C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alloonText">
    <w:name w:val="Balloon Text"/>
    <w:basedOn w:val="Normal"/>
    <w:link w:val="BalloonTextChar"/>
    <w:uiPriority w:val="99"/>
    <w:semiHidden/>
    <w:unhideWhenUsed/>
    <w:rsid w:val="00E553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5310"/>
    <w:rPr>
      <w:rFonts w:ascii="Lucida Grande" w:hAnsi="Lucida Grande" w:cs="Lucida Grande"/>
      <w:sz w:val="18"/>
      <w:szCs w:val="18"/>
    </w:rPr>
  </w:style>
  <w:style w:type="paragraph" w:styleId="FootnoteText">
    <w:name w:val="footnote text"/>
    <w:basedOn w:val="Normal"/>
    <w:link w:val="FootnoteTextChar"/>
    <w:uiPriority w:val="99"/>
    <w:unhideWhenUsed/>
    <w:rsid w:val="00E55310"/>
    <w:rPr>
      <w:rFonts w:eastAsiaTheme="minorHAnsi"/>
    </w:rPr>
  </w:style>
  <w:style w:type="character" w:customStyle="1" w:styleId="FootnoteTextChar">
    <w:name w:val="Footnote Text Char"/>
    <w:basedOn w:val="DefaultParagraphFont"/>
    <w:link w:val="FootnoteText"/>
    <w:uiPriority w:val="99"/>
    <w:rsid w:val="00E55310"/>
    <w:rPr>
      <w:rFonts w:eastAsiaTheme="minorHAnsi"/>
    </w:rPr>
  </w:style>
  <w:style w:type="character" w:styleId="FootnoteReference">
    <w:name w:val="footnote reference"/>
    <w:basedOn w:val="DefaultParagraphFont"/>
    <w:uiPriority w:val="99"/>
    <w:unhideWhenUsed/>
    <w:rsid w:val="00E55310"/>
    <w:rPr>
      <w:vertAlign w:val="superscript"/>
    </w:rPr>
  </w:style>
  <w:style w:type="character" w:styleId="CommentReference">
    <w:name w:val="annotation reference"/>
    <w:basedOn w:val="DefaultParagraphFont"/>
    <w:uiPriority w:val="99"/>
    <w:semiHidden/>
    <w:unhideWhenUsed/>
    <w:rsid w:val="00995A96"/>
    <w:rPr>
      <w:sz w:val="18"/>
      <w:szCs w:val="18"/>
    </w:rPr>
  </w:style>
  <w:style w:type="paragraph" w:styleId="CommentText">
    <w:name w:val="annotation text"/>
    <w:basedOn w:val="Normal"/>
    <w:link w:val="CommentTextChar"/>
    <w:uiPriority w:val="99"/>
    <w:semiHidden/>
    <w:unhideWhenUsed/>
    <w:rsid w:val="00995A96"/>
  </w:style>
  <w:style w:type="character" w:customStyle="1" w:styleId="CommentTextChar">
    <w:name w:val="Comment Text Char"/>
    <w:basedOn w:val="DefaultParagraphFont"/>
    <w:link w:val="CommentText"/>
    <w:uiPriority w:val="99"/>
    <w:semiHidden/>
    <w:rsid w:val="00995A96"/>
  </w:style>
  <w:style w:type="paragraph" w:styleId="CommentSubject">
    <w:name w:val="annotation subject"/>
    <w:basedOn w:val="CommentText"/>
    <w:next w:val="CommentText"/>
    <w:link w:val="CommentSubjectChar"/>
    <w:uiPriority w:val="99"/>
    <w:semiHidden/>
    <w:unhideWhenUsed/>
    <w:rsid w:val="00995A96"/>
    <w:rPr>
      <w:b/>
      <w:bCs/>
      <w:sz w:val="20"/>
      <w:szCs w:val="20"/>
    </w:rPr>
  </w:style>
  <w:style w:type="character" w:customStyle="1" w:styleId="CommentSubjectChar">
    <w:name w:val="Comment Subject Char"/>
    <w:basedOn w:val="CommentTextChar"/>
    <w:link w:val="CommentSubject"/>
    <w:uiPriority w:val="99"/>
    <w:semiHidden/>
    <w:rsid w:val="00995A96"/>
    <w:rPr>
      <w:b/>
      <w:bCs/>
      <w:sz w:val="20"/>
      <w:szCs w:val="20"/>
    </w:rPr>
  </w:style>
  <w:style w:type="paragraph" w:styleId="Revision">
    <w:name w:val="Revision"/>
    <w:hidden/>
    <w:uiPriority w:val="99"/>
    <w:semiHidden/>
    <w:rsid w:val="00E9076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E49"/>
    <w:pPr>
      <w:spacing w:after="160" w:line="259" w:lineRule="auto"/>
      <w:ind w:left="720"/>
      <w:contextualSpacing/>
    </w:pPr>
    <w:rPr>
      <w:rFonts w:eastAsiaTheme="minorHAnsi"/>
      <w:sz w:val="22"/>
      <w:szCs w:val="22"/>
    </w:rPr>
  </w:style>
  <w:style w:type="table" w:styleId="LightList-Accent3">
    <w:name w:val="Light List Accent 3"/>
    <w:basedOn w:val="TableNormal"/>
    <w:uiPriority w:val="61"/>
    <w:rsid w:val="00DD5E49"/>
    <w:rPr>
      <w:lang w:val="en-C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alloonText">
    <w:name w:val="Balloon Text"/>
    <w:basedOn w:val="Normal"/>
    <w:link w:val="BalloonTextChar"/>
    <w:uiPriority w:val="99"/>
    <w:semiHidden/>
    <w:unhideWhenUsed/>
    <w:rsid w:val="00E553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5310"/>
    <w:rPr>
      <w:rFonts w:ascii="Lucida Grande" w:hAnsi="Lucida Grande" w:cs="Lucida Grande"/>
      <w:sz w:val="18"/>
      <w:szCs w:val="18"/>
    </w:rPr>
  </w:style>
  <w:style w:type="paragraph" w:styleId="FootnoteText">
    <w:name w:val="footnote text"/>
    <w:basedOn w:val="Normal"/>
    <w:link w:val="FootnoteTextChar"/>
    <w:uiPriority w:val="99"/>
    <w:unhideWhenUsed/>
    <w:rsid w:val="00E55310"/>
    <w:rPr>
      <w:rFonts w:eastAsiaTheme="minorHAnsi"/>
    </w:rPr>
  </w:style>
  <w:style w:type="character" w:customStyle="1" w:styleId="FootnoteTextChar">
    <w:name w:val="Footnote Text Char"/>
    <w:basedOn w:val="DefaultParagraphFont"/>
    <w:link w:val="FootnoteText"/>
    <w:uiPriority w:val="99"/>
    <w:rsid w:val="00E55310"/>
    <w:rPr>
      <w:rFonts w:eastAsiaTheme="minorHAnsi"/>
    </w:rPr>
  </w:style>
  <w:style w:type="character" w:styleId="FootnoteReference">
    <w:name w:val="footnote reference"/>
    <w:basedOn w:val="DefaultParagraphFont"/>
    <w:uiPriority w:val="99"/>
    <w:unhideWhenUsed/>
    <w:rsid w:val="00E55310"/>
    <w:rPr>
      <w:vertAlign w:val="superscript"/>
    </w:rPr>
  </w:style>
  <w:style w:type="character" w:styleId="CommentReference">
    <w:name w:val="annotation reference"/>
    <w:basedOn w:val="DefaultParagraphFont"/>
    <w:uiPriority w:val="99"/>
    <w:semiHidden/>
    <w:unhideWhenUsed/>
    <w:rsid w:val="00995A96"/>
    <w:rPr>
      <w:sz w:val="18"/>
      <w:szCs w:val="18"/>
    </w:rPr>
  </w:style>
  <w:style w:type="paragraph" w:styleId="CommentText">
    <w:name w:val="annotation text"/>
    <w:basedOn w:val="Normal"/>
    <w:link w:val="CommentTextChar"/>
    <w:uiPriority w:val="99"/>
    <w:semiHidden/>
    <w:unhideWhenUsed/>
    <w:rsid w:val="00995A96"/>
  </w:style>
  <w:style w:type="character" w:customStyle="1" w:styleId="CommentTextChar">
    <w:name w:val="Comment Text Char"/>
    <w:basedOn w:val="DefaultParagraphFont"/>
    <w:link w:val="CommentText"/>
    <w:uiPriority w:val="99"/>
    <w:semiHidden/>
    <w:rsid w:val="00995A96"/>
  </w:style>
  <w:style w:type="paragraph" w:styleId="CommentSubject">
    <w:name w:val="annotation subject"/>
    <w:basedOn w:val="CommentText"/>
    <w:next w:val="CommentText"/>
    <w:link w:val="CommentSubjectChar"/>
    <w:uiPriority w:val="99"/>
    <w:semiHidden/>
    <w:unhideWhenUsed/>
    <w:rsid w:val="00995A96"/>
    <w:rPr>
      <w:b/>
      <w:bCs/>
      <w:sz w:val="20"/>
      <w:szCs w:val="20"/>
    </w:rPr>
  </w:style>
  <w:style w:type="character" w:customStyle="1" w:styleId="CommentSubjectChar">
    <w:name w:val="Comment Subject Char"/>
    <w:basedOn w:val="CommentTextChar"/>
    <w:link w:val="CommentSubject"/>
    <w:uiPriority w:val="99"/>
    <w:semiHidden/>
    <w:rsid w:val="00995A96"/>
    <w:rPr>
      <w:b/>
      <w:bCs/>
      <w:sz w:val="20"/>
      <w:szCs w:val="20"/>
    </w:rPr>
  </w:style>
  <w:style w:type="paragraph" w:styleId="Revision">
    <w:name w:val="Revision"/>
    <w:hidden/>
    <w:uiPriority w:val="99"/>
    <w:semiHidden/>
    <w:rsid w:val="00E90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commentsExtended" Target="commentsExtended.xml"/><Relationship Id="rId11"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566</Words>
  <Characters>3228</Characters>
  <Application>Microsoft Macintosh Word</Application>
  <DocSecurity>0</DocSecurity>
  <Lines>26</Lines>
  <Paragraphs>7</Paragraphs>
  <ScaleCrop>false</ScaleCrop>
  <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Goldberg</dc:creator>
  <cp:keywords/>
  <dc:description/>
  <cp:lastModifiedBy>Jennifer Goldberg</cp:lastModifiedBy>
  <cp:revision>4</cp:revision>
  <dcterms:created xsi:type="dcterms:W3CDTF">2016-07-14T18:13:00Z</dcterms:created>
  <dcterms:modified xsi:type="dcterms:W3CDTF">2016-07-18T19:10:00Z</dcterms:modified>
</cp:coreProperties>
</file>