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939"/>
        <w:gridCol w:w="4797"/>
      </w:tblGrid>
      <w:tr w:rsidR="002079E8" w:rsidRPr="00C727C0" w14:paraId="4E653131" w14:textId="77777777" w:rsidTr="00C466C7">
        <w:tc>
          <w:tcPr>
            <w:tcW w:w="2542" w:type="pct"/>
            <w:tcBorders>
              <w:top w:val="single" w:sz="4" w:space="0" w:color="auto"/>
              <w:left w:val="single" w:sz="4" w:space="0" w:color="auto"/>
              <w:bottom w:val="single" w:sz="4" w:space="0" w:color="auto"/>
              <w:right w:val="single" w:sz="4" w:space="0" w:color="auto"/>
            </w:tcBorders>
          </w:tcPr>
          <w:p w14:paraId="2ED851CB" w14:textId="77777777" w:rsidR="002079E8" w:rsidRPr="00C727C0" w:rsidRDefault="00C466C7" w:rsidP="00C466C7">
            <w:pPr>
              <w:spacing w:before="240" w:after="240" w:line="280" w:lineRule="exact"/>
              <w:rPr>
                <w:rFonts w:ascii="Arial" w:hAnsi="Arial" w:cs="Arial"/>
                <w:b/>
                <w:sz w:val="20"/>
                <w:szCs w:val="20"/>
                <w:lang w:val="en-GB"/>
              </w:rPr>
            </w:pPr>
            <w:r w:rsidRPr="00C727C0">
              <w:rPr>
                <w:rFonts w:ascii="Arial" w:hAnsi="Arial" w:cs="Arial"/>
                <w:b/>
                <w:sz w:val="20"/>
                <w:szCs w:val="20"/>
                <w:lang w:val="en-GB"/>
              </w:rPr>
              <w:t>GENERAL DISPUTE RESOLUTION</w:t>
            </w:r>
            <w:r w:rsidR="002079E8" w:rsidRPr="00C727C0">
              <w:rPr>
                <w:rFonts w:ascii="Arial" w:hAnsi="Arial" w:cs="Arial"/>
                <w:b/>
                <w:sz w:val="20"/>
                <w:szCs w:val="20"/>
                <w:lang w:val="en-GB"/>
              </w:rPr>
              <w:t xml:space="preserve"> POLICY</w:t>
            </w:r>
          </w:p>
        </w:tc>
        <w:tc>
          <w:tcPr>
            <w:tcW w:w="2458" w:type="pct"/>
            <w:tcBorders>
              <w:top w:val="single" w:sz="4" w:space="0" w:color="auto"/>
              <w:left w:val="single" w:sz="4" w:space="0" w:color="auto"/>
              <w:bottom w:val="single" w:sz="4" w:space="0" w:color="auto"/>
              <w:right w:val="single" w:sz="4" w:space="0" w:color="auto"/>
            </w:tcBorders>
          </w:tcPr>
          <w:p w14:paraId="3BC6A2ED" w14:textId="77777777" w:rsidR="002079E8" w:rsidRPr="00C727C0" w:rsidRDefault="00C466C7" w:rsidP="00C466C7">
            <w:pPr>
              <w:spacing w:before="240" w:after="240" w:line="280" w:lineRule="exact"/>
              <w:rPr>
                <w:rFonts w:ascii="Arial" w:hAnsi="Arial" w:cs="Arial"/>
                <w:b/>
                <w:sz w:val="20"/>
                <w:szCs w:val="20"/>
                <w:lang w:val="en-GB"/>
              </w:rPr>
            </w:pPr>
            <w:r w:rsidRPr="00C727C0">
              <w:rPr>
                <w:rFonts w:ascii="Arial" w:hAnsi="Arial" w:cs="Arial"/>
                <w:b/>
                <w:sz w:val="20"/>
                <w:szCs w:val="20"/>
                <w:lang w:val="en-GB"/>
              </w:rPr>
              <w:t xml:space="preserve">GENEL UYUŞMAZLIK ÇÖZÜM </w:t>
            </w:r>
            <w:r w:rsidR="002079E8" w:rsidRPr="00C727C0">
              <w:rPr>
                <w:rFonts w:ascii="Arial" w:hAnsi="Arial" w:cs="Arial"/>
                <w:b/>
                <w:sz w:val="20"/>
                <w:szCs w:val="20"/>
                <w:lang w:val="en-GB"/>
              </w:rPr>
              <w:t xml:space="preserve"> POLİTİKASI</w:t>
            </w:r>
          </w:p>
        </w:tc>
      </w:tr>
      <w:tr w:rsidR="00F97F30" w:rsidRPr="00C727C0" w14:paraId="23D6A10A" w14:textId="77777777" w:rsidTr="00C466C7">
        <w:tc>
          <w:tcPr>
            <w:tcW w:w="2542" w:type="pct"/>
            <w:tcBorders>
              <w:top w:val="single" w:sz="4" w:space="0" w:color="auto"/>
            </w:tcBorders>
            <w:shd w:val="clear" w:color="auto" w:fill="auto"/>
          </w:tcPr>
          <w:p w14:paraId="1B1D0F80" w14:textId="77777777" w:rsidR="00EE59E1" w:rsidRPr="00C727C0" w:rsidRDefault="00EE59E1" w:rsidP="00945554">
            <w:pPr>
              <w:pStyle w:val="ListParagraph"/>
              <w:numPr>
                <w:ilvl w:val="0"/>
                <w:numId w:val="11"/>
              </w:numPr>
              <w:spacing w:before="120" w:beforeAutospacing="0" w:line="280" w:lineRule="exact"/>
              <w:ind w:left="357" w:hanging="357"/>
              <w:jc w:val="both"/>
              <w:rPr>
                <w:rFonts w:cs="Arial"/>
                <w:b/>
                <w:szCs w:val="20"/>
              </w:rPr>
            </w:pPr>
            <w:r w:rsidRPr="00C727C0">
              <w:rPr>
                <w:rFonts w:cs="Arial"/>
                <w:b/>
                <w:szCs w:val="20"/>
                <w:lang w:val="en-GB"/>
              </w:rPr>
              <w:t>PREAMBLE</w:t>
            </w:r>
          </w:p>
        </w:tc>
        <w:tc>
          <w:tcPr>
            <w:tcW w:w="2458" w:type="pct"/>
            <w:tcBorders>
              <w:top w:val="single" w:sz="4" w:space="0" w:color="auto"/>
            </w:tcBorders>
            <w:shd w:val="clear" w:color="auto" w:fill="auto"/>
          </w:tcPr>
          <w:p w14:paraId="44E86E27" w14:textId="77777777" w:rsidR="00EE59E1" w:rsidRPr="00C727C0"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C727C0">
              <w:rPr>
                <w:rFonts w:cs="Arial"/>
                <w:b/>
                <w:caps/>
                <w:szCs w:val="20"/>
                <w:lang w:val="en-GB"/>
              </w:rPr>
              <w:t>GİRİŞ</w:t>
            </w:r>
          </w:p>
        </w:tc>
      </w:tr>
      <w:tr w:rsidR="00EE59E1" w:rsidRPr="00C727C0" w14:paraId="1B8CF0C9" w14:textId="77777777" w:rsidTr="00C466C7">
        <w:tc>
          <w:tcPr>
            <w:tcW w:w="2542" w:type="pct"/>
          </w:tcPr>
          <w:p w14:paraId="7BECD26C" w14:textId="6ABC0977" w:rsidR="00EE59E1" w:rsidRPr="00C727C0" w:rsidRDefault="00C466C7" w:rsidP="00945554">
            <w:pPr>
              <w:pStyle w:val="ListParagraph"/>
              <w:numPr>
                <w:ilvl w:val="1"/>
                <w:numId w:val="18"/>
              </w:numPr>
              <w:spacing w:before="120" w:beforeAutospacing="0" w:line="280" w:lineRule="exact"/>
              <w:ind w:left="993" w:hanging="567"/>
              <w:contextualSpacing w:val="0"/>
              <w:jc w:val="both"/>
              <w:rPr>
                <w:rFonts w:cs="Arial"/>
                <w:szCs w:val="20"/>
                <w:lang w:val="en-US"/>
              </w:rPr>
            </w:pPr>
            <w:r w:rsidRPr="00C727C0">
              <w:rPr>
                <w:rFonts w:cs="Arial"/>
                <w:szCs w:val="20"/>
                <w:lang w:val="en-US"/>
              </w:rPr>
              <w:t xml:space="preserve">The purpose of this document is to describe General Dispute Resolution Policy for the </w:t>
            </w:r>
            <w:r w:rsidRPr="00C727C0">
              <w:rPr>
                <w:rFonts w:cs="Arial"/>
                <w:b/>
                <w:szCs w:val="20"/>
                <w:lang w:val="en-US"/>
              </w:rPr>
              <w:t>.</w:t>
            </w:r>
            <w:proofErr w:type="spellStart"/>
            <w:r w:rsidRPr="00C727C0">
              <w:rPr>
                <w:rFonts w:cs="Arial"/>
                <w:b/>
                <w:szCs w:val="20"/>
                <w:lang w:val="en-US"/>
              </w:rPr>
              <w:t>istanbul</w:t>
            </w:r>
            <w:proofErr w:type="spellEnd"/>
            <w:r w:rsidRPr="00C727C0">
              <w:rPr>
                <w:rFonts w:cs="Arial"/>
                <w:szCs w:val="20"/>
                <w:lang w:val="en-US"/>
              </w:rPr>
              <w:t xml:space="preserve"> and </w:t>
            </w:r>
            <w:r w:rsidRPr="00C727C0">
              <w:rPr>
                <w:rFonts w:cs="Arial"/>
                <w:b/>
                <w:szCs w:val="20"/>
                <w:lang w:val="en-US"/>
              </w:rPr>
              <w:t>.</w:t>
            </w:r>
            <w:proofErr w:type="spellStart"/>
            <w:r w:rsidRPr="00C727C0">
              <w:rPr>
                <w:rFonts w:cs="Arial"/>
                <w:b/>
                <w:szCs w:val="20"/>
                <w:lang w:val="en-US"/>
              </w:rPr>
              <w:t>ist</w:t>
            </w:r>
            <w:proofErr w:type="spellEnd"/>
            <w:r w:rsidRPr="00C727C0">
              <w:rPr>
                <w:rFonts w:cs="Arial"/>
                <w:szCs w:val="20"/>
                <w:lang w:val="en-US"/>
              </w:rPr>
              <w:t xml:space="preserve"> TLDs</w:t>
            </w:r>
            <w:r w:rsidR="006D1099" w:rsidRPr="00C727C0">
              <w:rPr>
                <w:rFonts w:cs="Arial"/>
                <w:szCs w:val="20"/>
                <w:lang w:val="en-US"/>
              </w:rPr>
              <w:t xml:space="preserve"> (“Registry TLDs”)</w:t>
            </w:r>
            <w:r w:rsidRPr="00C727C0">
              <w:rPr>
                <w:rFonts w:cs="Arial"/>
                <w:szCs w:val="20"/>
                <w:lang w:val="en-US"/>
              </w:rPr>
              <w:t>.</w:t>
            </w:r>
          </w:p>
        </w:tc>
        <w:tc>
          <w:tcPr>
            <w:tcW w:w="2458" w:type="pct"/>
          </w:tcPr>
          <w:p w14:paraId="4751789D" w14:textId="7EF3337A" w:rsidR="00EE59E1" w:rsidRPr="00C727C0" w:rsidRDefault="00C466C7"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C727C0">
              <w:rPr>
                <w:rFonts w:cs="Arial"/>
                <w:szCs w:val="20"/>
              </w:rPr>
              <w:t>Bu belgenin amacı,</w:t>
            </w:r>
            <w:r w:rsidRPr="00C727C0">
              <w:rPr>
                <w:rFonts w:cs="Arial"/>
                <w:b/>
                <w:szCs w:val="20"/>
              </w:rPr>
              <w:t xml:space="preserve"> .istanbul </w:t>
            </w:r>
            <w:r w:rsidRPr="00C727C0">
              <w:rPr>
                <w:rFonts w:cs="Arial"/>
                <w:szCs w:val="20"/>
              </w:rPr>
              <w:t>ve</w:t>
            </w:r>
            <w:r w:rsidRPr="00C727C0">
              <w:rPr>
                <w:rFonts w:cs="Arial"/>
                <w:b/>
                <w:szCs w:val="20"/>
              </w:rPr>
              <w:t xml:space="preserve"> .ist </w:t>
            </w:r>
            <w:r w:rsidRPr="00C727C0">
              <w:rPr>
                <w:rFonts w:cs="Arial"/>
                <w:szCs w:val="20"/>
              </w:rPr>
              <w:t>üst düzey alanlarına (</w:t>
            </w:r>
            <w:r w:rsidR="006D1099" w:rsidRPr="00C727C0">
              <w:rPr>
                <w:rFonts w:cs="Arial"/>
                <w:szCs w:val="20"/>
              </w:rPr>
              <w:t xml:space="preserve">“Merkezi Kayıt </w:t>
            </w:r>
            <w:r w:rsidRPr="00C727C0">
              <w:rPr>
                <w:rFonts w:cs="Arial"/>
                <w:szCs w:val="20"/>
              </w:rPr>
              <w:t>ÜDA</w:t>
            </w:r>
            <w:r w:rsidR="006D1099" w:rsidRPr="00C727C0">
              <w:rPr>
                <w:rFonts w:cs="Arial"/>
                <w:szCs w:val="20"/>
              </w:rPr>
              <w:t>”</w:t>
            </w:r>
            <w:r w:rsidRPr="00C727C0">
              <w:rPr>
                <w:rFonts w:cs="Arial"/>
                <w:szCs w:val="20"/>
              </w:rPr>
              <w:t>) ilişkin Genel Uyuşmazlık Çözüm Politikası</w:t>
            </w:r>
            <w:r w:rsidR="006D1099" w:rsidRPr="00C727C0">
              <w:rPr>
                <w:rFonts w:cs="Arial"/>
                <w:szCs w:val="20"/>
              </w:rPr>
              <w:t>’</w:t>
            </w:r>
            <w:r w:rsidRPr="00C727C0">
              <w:rPr>
                <w:rFonts w:cs="Arial"/>
                <w:szCs w:val="20"/>
              </w:rPr>
              <w:t>nı açıklamaktır.</w:t>
            </w:r>
          </w:p>
        </w:tc>
      </w:tr>
      <w:tr w:rsidR="00361AFF" w:rsidRPr="00C727C0" w14:paraId="3ECB4214" w14:textId="77777777" w:rsidTr="00C466C7">
        <w:tc>
          <w:tcPr>
            <w:tcW w:w="2542" w:type="pct"/>
          </w:tcPr>
          <w:p w14:paraId="08FE0905" w14:textId="530ADA16" w:rsidR="00EE59E1" w:rsidRPr="00C727C0" w:rsidRDefault="00C466C7" w:rsidP="00945554">
            <w:pPr>
              <w:pStyle w:val="ListParagraph"/>
              <w:numPr>
                <w:ilvl w:val="1"/>
                <w:numId w:val="18"/>
              </w:numPr>
              <w:spacing w:before="120" w:beforeAutospacing="0" w:line="280" w:lineRule="exact"/>
              <w:ind w:left="993" w:hanging="567"/>
              <w:contextualSpacing w:val="0"/>
              <w:jc w:val="both"/>
              <w:rPr>
                <w:rFonts w:cs="Arial"/>
                <w:szCs w:val="20"/>
                <w:lang w:val="en-US"/>
              </w:rPr>
            </w:pPr>
            <w:r w:rsidRPr="00C727C0">
              <w:rPr>
                <w:rFonts w:cs="Arial"/>
                <w:szCs w:val="20"/>
                <w:lang w:val="en-US"/>
              </w:rPr>
              <w:t xml:space="preserve">This Policy sets forth the terms and conditions in connection with the resolution of disputes between Registrants and third parties over the registration and use of a domain name in the </w:t>
            </w:r>
            <w:r w:rsidR="006D1099" w:rsidRPr="00C727C0">
              <w:rPr>
                <w:rFonts w:cs="Arial"/>
                <w:szCs w:val="20"/>
                <w:lang w:val="en-US"/>
              </w:rPr>
              <w:t xml:space="preserve">Registry </w:t>
            </w:r>
            <w:r w:rsidRPr="00C727C0">
              <w:rPr>
                <w:rFonts w:cs="Arial"/>
                <w:szCs w:val="20"/>
                <w:lang w:val="en-US"/>
              </w:rPr>
              <w:t>TLDs.</w:t>
            </w:r>
          </w:p>
        </w:tc>
        <w:tc>
          <w:tcPr>
            <w:tcW w:w="2458" w:type="pct"/>
          </w:tcPr>
          <w:p w14:paraId="14ACA88F" w14:textId="625D671D" w:rsidR="00EE59E1" w:rsidRPr="00C727C0" w:rsidRDefault="00C466C7"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C727C0">
              <w:rPr>
                <w:rFonts w:cs="Arial"/>
                <w:szCs w:val="20"/>
              </w:rPr>
              <w:t xml:space="preserve">Bu Politika, </w:t>
            </w:r>
            <w:r w:rsidR="006D1099" w:rsidRPr="00C727C0">
              <w:rPr>
                <w:rFonts w:cs="Arial"/>
                <w:szCs w:val="20"/>
              </w:rPr>
              <w:t xml:space="preserve">Merkezi Kayıt </w:t>
            </w:r>
            <w:r w:rsidRPr="00C727C0">
              <w:rPr>
                <w:rFonts w:cs="Arial"/>
                <w:szCs w:val="20"/>
              </w:rPr>
              <w:t>ÜDA’larda bulunan alan adlarının tescili ve kullanımı konusunda Alan Adı Sahipleri ile üçüncü kişiler arasında ortaya çıkan uyuşmazlıkların çözümüne ilişkin kayıt ve şartları ortaya koymaktadır.</w:t>
            </w:r>
          </w:p>
        </w:tc>
      </w:tr>
      <w:tr w:rsidR="00CF0243" w:rsidRPr="00C727C0" w14:paraId="466C4570" w14:textId="77777777" w:rsidTr="00C466C7">
        <w:tc>
          <w:tcPr>
            <w:tcW w:w="2542" w:type="pct"/>
            <w:shd w:val="clear" w:color="auto" w:fill="auto"/>
          </w:tcPr>
          <w:p w14:paraId="16B2C1B9" w14:textId="77777777" w:rsidR="00CF0243" w:rsidRPr="00C727C0" w:rsidRDefault="00C466C7" w:rsidP="00C466C7">
            <w:pPr>
              <w:pStyle w:val="ListParagraph"/>
              <w:numPr>
                <w:ilvl w:val="0"/>
                <w:numId w:val="11"/>
              </w:numPr>
              <w:spacing w:before="120" w:beforeAutospacing="0" w:line="280" w:lineRule="exact"/>
              <w:ind w:left="357" w:hanging="357"/>
              <w:contextualSpacing w:val="0"/>
              <w:jc w:val="both"/>
              <w:rPr>
                <w:rFonts w:cs="Arial"/>
                <w:b/>
                <w:szCs w:val="20"/>
                <w:lang w:val="en-US"/>
              </w:rPr>
            </w:pPr>
            <w:r w:rsidRPr="00C727C0">
              <w:rPr>
                <w:rFonts w:cs="Arial"/>
                <w:b/>
                <w:szCs w:val="20"/>
                <w:lang w:val="en-US"/>
              </w:rPr>
              <w:t>ICANN DISPUTE RESOLUTION POLICIES</w:t>
            </w:r>
          </w:p>
        </w:tc>
        <w:tc>
          <w:tcPr>
            <w:tcW w:w="2458" w:type="pct"/>
            <w:shd w:val="clear" w:color="auto" w:fill="auto"/>
          </w:tcPr>
          <w:p w14:paraId="62BEA27B" w14:textId="77777777" w:rsidR="00CF0243" w:rsidRPr="00C727C0" w:rsidRDefault="00C466C7"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C727C0">
              <w:rPr>
                <w:rFonts w:cs="Arial"/>
                <w:b/>
                <w:caps/>
                <w:szCs w:val="20"/>
              </w:rPr>
              <w:t>ICANN UYUŞMAZLIK ÇÖZÜM pOLİTİKALARI</w:t>
            </w:r>
          </w:p>
        </w:tc>
      </w:tr>
      <w:tr w:rsidR="00361AFF" w:rsidRPr="00C727C0" w14:paraId="6E9E96B4" w14:textId="77777777" w:rsidTr="00C466C7">
        <w:tc>
          <w:tcPr>
            <w:tcW w:w="2542" w:type="pct"/>
          </w:tcPr>
          <w:p w14:paraId="42B0C416" w14:textId="77777777" w:rsidR="00EE59E1" w:rsidRPr="00C727C0" w:rsidRDefault="00C466C7"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C727C0">
              <w:rPr>
                <w:rFonts w:cs="Arial"/>
                <w:bCs/>
                <w:szCs w:val="20"/>
                <w:lang w:val="en-US"/>
              </w:rPr>
              <w:t>Until ICANN adopts an alternative consensus policy, specification and/or temporary policy with respect to the resolution of disputes concerning registered domain names, the Registry Operator shall comply with the Uniform Domain Name Dispute Resolution Policy (“UDRP”) displayed on &lt;https://www.icann.org/resources/pages/policy-2012-02-25-en&gt;, as may be modified from time to time by ICANN. The Registry Operator shall also comply with the Uniform Rapid Suspension (“URS”) system displayed on &lt;http://newgtlds.icann.org/en/applicants/urs&gt; or its replacement, as well as with any other applicable dispute resolution procedures as required by ICANN.</w:t>
            </w:r>
          </w:p>
        </w:tc>
        <w:tc>
          <w:tcPr>
            <w:tcW w:w="2458" w:type="pct"/>
          </w:tcPr>
          <w:p w14:paraId="125F5723" w14:textId="64CF6996" w:rsidR="00EE59E1" w:rsidRPr="00C727C0" w:rsidRDefault="00C466C7"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C727C0">
              <w:rPr>
                <w:rFonts w:cs="Arial"/>
                <w:szCs w:val="20"/>
              </w:rPr>
              <w:t xml:space="preserve">ICANN tarafından alan adları ile ilgili anlaşmazlıkların çözümüne ilişkin yeni bir uzlaşı politikası, şartname ve/ veya geçici politika yürürlüğe konulana kadar, Merkezi Kayıt Kurumu </w:t>
            </w:r>
            <w:r w:rsidRPr="00C727C0">
              <w:rPr>
                <w:rFonts w:cs="Arial"/>
                <w:bCs/>
                <w:szCs w:val="20"/>
              </w:rPr>
              <w:t>(MKK)</w:t>
            </w:r>
            <w:r w:rsidRPr="00C727C0">
              <w:rPr>
                <w:rFonts w:cs="Arial"/>
                <w:szCs w:val="20"/>
              </w:rPr>
              <w:t xml:space="preserve"> Operatörü, </w:t>
            </w:r>
            <w:r w:rsidR="00A35F92" w:rsidRPr="00C727C0">
              <w:fldChar w:fldCharType="begin"/>
            </w:r>
            <w:r w:rsidR="00A35F92" w:rsidRPr="00C727C0">
              <w:instrText xml:space="preserve"> HYPERLINK "https://www.icann.org/resources/pages/policy-2012-02-25-en" </w:instrText>
            </w:r>
            <w:r w:rsidR="00A35F92" w:rsidRPr="00C727C0">
              <w:fldChar w:fldCharType="separate"/>
            </w:r>
            <w:r w:rsidRPr="00C727C0">
              <w:rPr>
                <w:rStyle w:val="Hyperlink"/>
                <w:rFonts w:cs="Arial"/>
                <w:szCs w:val="20"/>
              </w:rPr>
              <w:t>https://www.icann.org/resources/pages/policy-2012-02-25-en</w:t>
            </w:r>
            <w:r w:rsidR="00A35F92" w:rsidRPr="00C727C0">
              <w:rPr>
                <w:rStyle w:val="Hyperlink"/>
                <w:rFonts w:cs="Arial"/>
                <w:szCs w:val="20"/>
              </w:rPr>
              <w:fldChar w:fldCharType="end"/>
            </w:r>
            <w:r w:rsidRPr="00C727C0">
              <w:rPr>
                <w:rFonts w:cs="Arial"/>
                <w:szCs w:val="20"/>
                <w:u w:val="single"/>
              </w:rPr>
              <w:t xml:space="preserve"> </w:t>
            </w:r>
            <w:r w:rsidRPr="00C727C0">
              <w:rPr>
                <w:rFonts w:cs="Arial"/>
                <w:szCs w:val="20"/>
              </w:rPr>
              <w:t>adresinde yer alan ve ICANN tarafından zaman zaman değiştirilebilir olan Yeknesak Alan Adı Uyuşmazlık Çözüm Politikası’na (UDRP)</w:t>
            </w:r>
            <w:r w:rsidRPr="00C727C0">
              <w:rPr>
                <w:rFonts w:cs="Arial"/>
                <w:bCs/>
                <w:szCs w:val="20"/>
              </w:rPr>
              <w:t xml:space="preserve"> uygun hareket eder. MKK Operatörü, aynı zamanda </w:t>
            </w:r>
            <w:r w:rsidR="00A35F92" w:rsidRPr="00C727C0">
              <w:fldChar w:fldCharType="begin"/>
            </w:r>
            <w:r w:rsidR="00A35F92" w:rsidRPr="00C727C0">
              <w:instrText xml:space="preserve"> HYPERLINK "http://newgtlds.icann.org/en/applicants/urs" </w:instrText>
            </w:r>
            <w:r w:rsidR="00A35F92" w:rsidRPr="00C727C0">
              <w:fldChar w:fldCharType="separate"/>
            </w:r>
            <w:r w:rsidRPr="00C727C0">
              <w:rPr>
                <w:rStyle w:val="Hyperlink"/>
                <w:rFonts w:cs="Arial"/>
                <w:bCs/>
                <w:szCs w:val="20"/>
              </w:rPr>
              <w:t>http://newgtlds.icann.org/en/applicants/urs</w:t>
            </w:r>
            <w:r w:rsidR="00A35F92" w:rsidRPr="00C727C0">
              <w:rPr>
                <w:rStyle w:val="Hyperlink"/>
                <w:rFonts w:cs="Arial"/>
                <w:bCs/>
                <w:szCs w:val="20"/>
              </w:rPr>
              <w:fldChar w:fldCharType="end"/>
            </w:r>
            <w:r w:rsidRPr="00C727C0">
              <w:rPr>
                <w:rFonts w:cs="Arial"/>
                <w:bCs/>
                <w:szCs w:val="20"/>
              </w:rPr>
              <w:t xml:space="preserve"> adresinde yer alan Yeknesak Hızlı Askıya Alma Sistemi’ne (URS) veya onun yerini alan politikaya ve de ICANN tarafından zorunlu kılınan diğer ilgili uyuşmazlık çözüm prosedürlerine uygun harekete eder.</w:t>
            </w:r>
          </w:p>
        </w:tc>
      </w:tr>
      <w:tr w:rsidR="00361AFF" w:rsidRPr="00C727C0" w14:paraId="2BD5EF2E" w14:textId="77777777" w:rsidTr="00C466C7">
        <w:tc>
          <w:tcPr>
            <w:tcW w:w="2542" w:type="pct"/>
          </w:tcPr>
          <w:p w14:paraId="5508720C" w14:textId="77777777" w:rsidR="00EE59E1" w:rsidRPr="00C727C0" w:rsidRDefault="00C466C7" w:rsidP="00C466C7">
            <w:pPr>
              <w:pStyle w:val="ListParagraph"/>
              <w:numPr>
                <w:ilvl w:val="0"/>
                <w:numId w:val="11"/>
              </w:numPr>
              <w:spacing w:before="120" w:beforeAutospacing="0" w:line="280" w:lineRule="exact"/>
              <w:contextualSpacing w:val="0"/>
              <w:jc w:val="both"/>
              <w:rPr>
                <w:rFonts w:cs="Arial"/>
                <w:szCs w:val="20"/>
                <w:lang w:val="en-US"/>
              </w:rPr>
            </w:pPr>
            <w:r w:rsidRPr="00C727C0">
              <w:rPr>
                <w:rFonts w:eastAsia="Calibri" w:cs="Arial"/>
                <w:b/>
                <w:caps/>
                <w:szCs w:val="20"/>
                <w:lang w:val="en-US"/>
              </w:rPr>
              <w:t>court decisions and administrative measures</w:t>
            </w:r>
          </w:p>
        </w:tc>
        <w:tc>
          <w:tcPr>
            <w:tcW w:w="2458" w:type="pct"/>
          </w:tcPr>
          <w:p w14:paraId="400C1D89" w14:textId="77777777" w:rsidR="00EE59E1" w:rsidRPr="00C727C0" w:rsidRDefault="00C466C7" w:rsidP="00C466C7">
            <w:pPr>
              <w:pStyle w:val="ListParagraph"/>
              <w:numPr>
                <w:ilvl w:val="0"/>
                <w:numId w:val="21"/>
              </w:numPr>
              <w:spacing w:before="120" w:beforeAutospacing="0" w:after="0" w:line="280" w:lineRule="exact"/>
              <w:contextualSpacing w:val="0"/>
              <w:jc w:val="both"/>
              <w:rPr>
                <w:rFonts w:cs="Arial"/>
                <w:szCs w:val="20"/>
              </w:rPr>
            </w:pPr>
            <w:r w:rsidRPr="00C727C0">
              <w:rPr>
                <w:rFonts w:cs="Arial"/>
                <w:b/>
                <w:caps/>
                <w:szCs w:val="20"/>
              </w:rPr>
              <w:t>mahkeme kararları ve idari önlemler</w:t>
            </w:r>
          </w:p>
        </w:tc>
      </w:tr>
      <w:tr w:rsidR="00361AFF" w:rsidRPr="00C727C0" w14:paraId="4867CD04" w14:textId="77777777" w:rsidTr="00C466C7">
        <w:tc>
          <w:tcPr>
            <w:tcW w:w="2542" w:type="pct"/>
          </w:tcPr>
          <w:p w14:paraId="49458C74" w14:textId="4A46F89A" w:rsidR="00EE59E1" w:rsidRPr="00C727C0" w:rsidRDefault="00C466C7"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C727C0">
              <w:rPr>
                <w:rFonts w:cs="Arial"/>
                <w:szCs w:val="20"/>
                <w:lang w:val="en-US"/>
              </w:rPr>
              <w:t xml:space="preserve">In the event that a trademark owner or any other person claiming right over a Registered Domain Name chooses to file a complaint or bring an action in a Turkish court or a Turkish competent administrative authority against the </w:t>
            </w:r>
            <w:r w:rsidRPr="00C727C0">
              <w:rPr>
                <w:rFonts w:cs="Arial"/>
                <w:szCs w:val="20"/>
                <w:lang w:val="en-US"/>
              </w:rPr>
              <w:lastRenderedPageBreak/>
              <w:t xml:space="preserve">Registrant, the Registry Operator and Registrars shall comply with the </w:t>
            </w:r>
            <w:proofErr w:type="spellStart"/>
            <w:r w:rsidRPr="00C727C0">
              <w:rPr>
                <w:rFonts w:cs="Arial"/>
                <w:szCs w:val="20"/>
                <w:lang w:val="en-US"/>
              </w:rPr>
              <w:t>judgements</w:t>
            </w:r>
            <w:proofErr w:type="spellEnd"/>
            <w:r w:rsidRPr="00C727C0">
              <w:rPr>
                <w:rFonts w:cs="Arial"/>
                <w:szCs w:val="20"/>
                <w:lang w:val="en-US"/>
              </w:rPr>
              <w:t xml:space="preserve">, orders and resolutions, including preliminary injunctions such as the suspension of the domain name, adopted by the court or competent administrative authority. The Registry Operator is obliged to comply with the decisions of courts of other jurisdictions only if such decisions have been </w:t>
            </w:r>
            <w:r w:rsidR="00400CFB" w:rsidRPr="00C727C0">
              <w:rPr>
                <w:rFonts w:cs="Arial"/>
                <w:szCs w:val="20"/>
                <w:lang w:val="en-US"/>
              </w:rPr>
              <w:t>recognized</w:t>
            </w:r>
            <w:r w:rsidRPr="00C727C0">
              <w:rPr>
                <w:rFonts w:cs="Arial"/>
                <w:szCs w:val="20"/>
                <w:lang w:val="en-US"/>
              </w:rPr>
              <w:t xml:space="preserve"> and enforced by Turkish courts.</w:t>
            </w:r>
          </w:p>
        </w:tc>
        <w:tc>
          <w:tcPr>
            <w:tcW w:w="2458" w:type="pct"/>
          </w:tcPr>
          <w:p w14:paraId="0C2A28B1" w14:textId="77777777" w:rsidR="00EE59E1" w:rsidRPr="00C727C0" w:rsidRDefault="00C466C7"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C727C0">
              <w:rPr>
                <w:rFonts w:cs="Arial"/>
                <w:szCs w:val="20"/>
              </w:rPr>
              <w:lastRenderedPageBreak/>
              <w:t xml:space="preserve">Bir marka sahibinin veya Kayıtlı Alan Adı üzerinde hak iddia eden diğer herhangi bir kişinin, Türk mahkemesi veya yetkili idari makamları önünde şikayette bulunmayı veya dava açmayı seçmesi halinde, MKK Operatörü ve Yetkili Kayıt </w:t>
            </w:r>
            <w:r w:rsidRPr="00C727C0">
              <w:rPr>
                <w:rFonts w:cs="Arial"/>
                <w:szCs w:val="20"/>
              </w:rPr>
              <w:lastRenderedPageBreak/>
              <w:t>Operatörleri, alan adının askıya alınması gibi ihtiyati tedbir kararları dahil, söz konusu mahkeme veya yetkili idari makamlar tarafından verilen hüküm, emir ve kararlara uygun hareket eder. MKK Operatörü, diğer ülke yargı kararlarına, ancak bunlar Türk mahkemeleri tarafından tanınmış ve tenfiz edilmişse uymakla yükümlüdür.</w:t>
            </w:r>
          </w:p>
        </w:tc>
      </w:tr>
      <w:tr w:rsidR="00361AFF" w:rsidRPr="00C466C7" w14:paraId="49537AE7" w14:textId="77777777" w:rsidTr="00C466C7">
        <w:tc>
          <w:tcPr>
            <w:tcW w:w="2542" w:type="pct"/>
          </w:tcPr>
          <w:p w14:paraId="5130ED91" w14:textId="54F5215E" w:rsidR="00EE59E1" w:rsidRPr="00C727C0" w:rsidRDefault="00C466C7" w:rsidP="00945554">
            <w:pPr>
              <w:pStyle w:val="ListParagraph"/>
              <w:numPr>
                <w:ilvl w:val="1"/>
                <w:numId w:val="11"/>
              </w:numPr>
              <w:spacing w:before="120" w:beforeAutospacing="0" w:line="280" w:lineRule="exact"/>
              <w:ind w:left="993" w:hanging="567"/>
              <w:contextualSpacing w:val="0"/>
              <w:jc w:val="both"/>
              <w:rPr>
                <w:rFonts w:cs="Arial"/>
                <w:szCs w:val="20"/>
                <w:lang w:val="en-US"/>
              </w:rPr>
            </w:pPr>
            <w:r w:rsidRPr="00C727C0">
              <w:rPr>
                <w:rFonts w:cs="Arial"/>
                <w:szCs w:val="20"/>
                <w:lang w:val="en-US"/>
              </w:rPr>
              <w:lastRenderedPageBreak/>
              <w:t xml:space="preserve">According to Law No 5651 on </w:t>
            </w:r>
            <w:r w:rsidRPr="00C727C0">
              <w:rPr>
                <w:rFonts w:cs="Arial"/>
                <w:bCs/>
                <w:szCs w:val="20"/>
                <w:lang w:val="en-US"/>
              </w:rPr>
              <w:t xml:space="preserve">Regulating Broadcasting in the Internet and Fighting against Crimes Committed through Internet Broadcasting and other relevant Turkish legal instruments governing the use of the Internet, the Information and Communications Technologies Authority of Turkey (“ICTA”) may, through Internet access and hosting providers operating in Turkey, block or restrict access to a website associated with a Registered Domain Name in the </w:t>
            </w:r>
            <w:r w:rsidR="006D1099" w:rsidRPr="00C727C0">
              <w:rPr>
                <w:rFonts w:cs="Arial"/>
                <w:bCs/>
                <w:szCs w:val="20"/>
                <w:lang w:val="en-US"/>
              </w:rPr>
              <w:t xml:space="preserve">Registry </w:t>
            </w:r>
            <w:r w:rsidRPr="00C727C0">
              <w:rPr>
                <w:rFonts w:cs="Arial"/>
                <w:bCs/>
                <w:szCs w:val="20"/>
                <w:lang w:val="en-US"/>
              </w:rPr>
              <w:t xml:space="preserve">TLDs in case of violation of relevant laws and regulations. The Registrant may bring legal proceedings against those decisions adopted by ICTA in Turkish administrative courts. However, the Registry Operator shall not be liable whatsoever for such </w:t>
            </w:r>
            <w:r w:rsidR="00AB62F9" w:rsidRPr="00C727C0">
              <w:rPr>
                <w:rFonts w:cs="Arial"/>
                <w:bCs/>
                <w:szCs w:val="20"/>
                <w:lang w:val="en-US"/>
              </w:rPr>
              <w:t>or any</w:t>
            </w:r>
            <w:r w:rsidR="00A41D75" w:rsidRPr="00C727C0">
              <w:rPr>
                <w:rFonts w:cs="Arial"/>
                <w:bCs/>
                <w:szCs w:val="20"/>
                <w:lang w:val="en-US"/>
              </w:rPr>
              <w:t xml:space="preserve"> other</w:t>
            </w:r>
            <w:r w:rsidR="00AB62F9" w:rsidRPr="00C727C0">
              <w:rPr>
                <w:rFonts w:cs="Arial"/>
                <w:bCs/>
                <w:szCs w:val="20"/>
                <w:lang w:val="en-US"/>
              </w:rPr>
              <w:t xml:space="preserve"> legal </w:t>
            </w:r>
            <w:r w:rsidRPr="00C727C0">
              <w:rPr>
                <w:rFonts w:cs="Arial"/>
                <w:bCs/>
                <w:szCs w:val="20"/>
                <w:lang w:val="en-US"/>
              </w:rPr>
              <w:t>blocking or restriction of access concerning the Registered Domain Name and shall not be involved in such legal proceedings.</w:t>
            </w:r>
          </w:p>
        </w:tc>
        <w:tc>
          <w:tcPr>
            <w:tcW w:w="2458" w:type="pct"/>
          </w:tcPr>
          <w:p w14:paraId="5D16A8B8" w14:textId="04128D6A" w:rsidR="00EE59E1" w:rsidRPr="00C727C0" w:rsidRDefault="00C466C7"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C727C0">
              <w:rPr>
                <w:rFonts w:cs="Arial"/>
                <w:szCs w:val="20"/>
              </w:rPr>
              <w:t>5651 sayılı</w:t>
            </w:r>
            <w:r w:rsidRPr="00C727C0">
              <w:rPr>
                <w:rFonts w:cs="Arial"/>
                <w:b/>
                <w:szCs w:val="20"/>
              </w:rPr>
              <w:t xml:space="preserve"> </w:t>
            </w:r>
            <w:r w:rsidRPr="00C727C0">
              <w:rPr>
                <w:rFonts w:cs="Arial"/>
                <w:szCs w:val="20"/>
              </w:rPr>
              <w:t xml:space="preserve">İnternet Ortamında Yapılan Yayınların Düzenlenmesi ve bu Yayınlar Yoluyla İşlenen Suçlarla Mücadele Edilmesi Hakkında Kanun ve internet kullanımını düzenleyen diğer ilgili Türk hukuku düzenlemeleri uyarınca, Türkiye Bilgi Teknolojileri ve İletişim Kurumu (“BTK”), ilgili kanun ve düzenlemelerin ihlali halinde Türkiye’de faaliyet gösteren erişim ve yer sağlayıcıları aracılığıyla, </w:t>
            </w:r>
            <w:r w:rsidR="00400CFB" w:rsidRPr="00C727C0">
              <w:rPr>
                <w:rFonts w:cs="Arial"/>
                <w:szCs w:val="20"/>
              </w:rPr>
              <w:t xml:space="preserve">Merkezi Kayıt </w:t>
            </w:r>
            <w:r w:rsidRPr="00C727C0">
              <w:rPr>
                <w:rFonts w:cs="Arial"/>
                <w:szCs w:val="20"/>
              </w:rPr>
              <w:t xml:space="preserve">ÜDA’larda Kayıtlı bir Alan Adına ilişkin web sitesine erişimi kısıtlayabilir veya engelleyebilir. Alan Adı Sahibi, Türk idare mahkemelerinde BTK tarafından alınan bu kararlara karşı dava açabilir. Fakat, MKK Operatörü, Kayıtlı Alan Adına ilişkin olarak erişimin bu şekilde </w:t>
            </w:r>
            <w:r w:rsidR="00AF6147" w:rsidRPr="00C727C0">
              <w:rPr>
                <w:rFonts w:cs="Arial"/>
                <w:szCs w:val="20"/>
              </w:rPr>
              <w:t>veya</w:t>
            </w:r>
            <w:r w:rsidR="00AB62F9" w:rsidRPr="00C727C0">
              <w:rPr>
                <w:rFonts w:cs="Arial"/>
                <w:szCs w:val="20"/>
              </w:rPr>
              <w:t xml:space="preserve"> başkaca bir yasal sebeple</w:t>
            </w:r>
            <w:r w:rsidR="00AF6147" w:rsidRPr="00C727C0">
              <w:rPr>
                <w:rFonts w:cs="Arial"/>
                <w:szCs w:val="20"/>
              </w:rPr>
              <w:t xml:space="preserve"> </w:t>
            </w:r>
            <w:r w:rsidRPr="00C727C0">
              <w:rPr>
                <w:rFonts w:cs="Arial"/>
                <w:szCs w:val="20"/>
              </w:rPr>
              <w:t>engellenmesi veya kısıtlanmasından hiçbir suretle sorumlu tutulamaz ve söz konusu yasal işlemlere dahil edilemez.</w:t>
            </w:r>
          </w:p>
        </w:tc>
      </w:tr>
    </w:tbl>
    <w:p w14:paraId="229EC484" w14:textId="77777777" w:rsidR="00347D69" w:rsidRDefault="00C1244A" w:rsidP="00CE7634">
      <w:pPr>
        <w:spacing w:line="276" w:lineRule="auto"/>
      </w:pPr>
    </w:p>
    <w:sectPr w:rsidR="00347D69" w:rsidSect="0055701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BA05D" w14:textId="77777777" w:rsidR="00C1244A" w:rsidRDefault="00C1244A" w:rsidP="00717533">
      <w:r>
        <w:separator/>
      </w:r>
    </w:p>
  </w:endnote>
  <w:endnote w:type="continuationSeparator" w:id="0">
    <w:p w14:paraId="5E14E0B4" w14:textId="77777777" w:rsidR="00C1244A" w:rsidRDefault="00C1244A"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96F4" w14:textId="77777777" w:rsidR="00A5047F" w:rsidRDefault="00A50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14:paraId="3E0E8A6E" w14:textId="77777777" w:rsidR="00EE59E1" w:rsidRDefault="00EE59E1">
        <w:pPr>
          <w:pStyle w:val="Footer"/>
          <w:jc w:val="center"/>
        </w:pPr>
      </w:p>
      <w:p w14:paraId="4EE18416" w14:textId="77777777"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176F45">
          <w:rPr>
            <w:rFonts w:ascii="Arial" w:hAnsi="Arial" w:cs="Arial"/>
            <w:noProof/>
            <w:sz w:val="20"/>
            <w:szCs w:val="20"/>
          </w:rPr>
          <w:t>1</w:t>
        </w:r>
        <w:r w:rsidRPr="007E469F">
          <w:rPr>
            <w:rFonts w:ascii="Arial" w:hAnsi="Arial" w:cs="Arial"/>
            <w:noProof/>
            <w:sz w:val="20"/>
            <w:szCs w:val="20"/>
          </w:rPr>
          <w:fldChar w:fldCharType="end"/>
        </w:r>
      </w:p>
      <w:p w14:paraId="3C952FF0" w14:textId="77777777"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14:paraId="14C49094" w14:textId="77777777" w:rsidTr="00B938A6">
          <w:sdt>
            <w:sdtPr>
              <w:rPr>
                <w:rFonts w:ascii="Myriad Pro" w:hAnsi="Myriad Pro"/>
                <w:noProof/>
                <w:color w:val="808080" w:themeColor="background1" w:themeShade="80"/>
                <w:sz w:val="20"/>
                <w:szCs w:val="20"/>
              </w:rPr>
              <w:alias w:val="Comments"/>
              <w:tag w:val=""/>
              <w:id w:val="169812112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14:paraId="425CCBE6" w14:textId="77777777" w:rsidR="000B5FF6" w:rsidRPr="00B938A6" w:rsidRDefault="00B938A6" w:rsidP="00C466C7">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 xml:space="preserve">Document version: </w:t>
                  </w:r>
                  <w:r w:rsidR="00C466C7">
                    <w:rPr>
                      <w:rFonts w:ascii="Myriad Pro" w:hAnsi="Myriad Pro"/>
                      <w:noProof/>
                      <w:color w:val="808080" w:themeColor="background1" w:themeShade="80"/>
                      <w:sz w:val="20"/>
                      <w:szCs w:val="20"/>
                    </w:rPr>
                    <w:t>GDRP</w:t>
                  </w:r>
                  <w:r>
                    <w:rPr>
                      <w:rFonts w:ascii="Myriad Pro" w:hAnsi="Myriad Pro"/>
                      <w:noProof/>
                      <w:color w:val="808080" w:themeColor="background1" w:themeShade="80"/>
                      <w:sz w:val="20"/>
                      <w:szCs w:val="20"/>
                    </w:rPr>
                    <w:t>-002</w:t>
                  </w:r>
                </w:p>
              </w:tc>
            </w:sdtContent>
          </w:sdt>
          <w:tc>
            <w:tcPr>
              <w:tcW w:w="4943" w:type="dxa"/>
            </w:tcPr>
            <w:p w14:paraId="7D071BDB" w14:textId="6EB58357" w:rsidR="000B5FF6" w:rsidRDefault="00C1244A"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1F72D6">
                    <w:rPr>
                      <w:rFonts w:ascii="Myriad Pro" w:hAnsi="Myriad Pro"/>
                      <w:noProof/>
                      <w:color w:val="808080" w:themeColor="background1" w:themeShade="80"/>
                      <w:sz w:val="20"/>
                      <w:szCs w:val="20"/>
                      <w:lang w:val="en-GB"/>
                    </w:rPr>
                    <w:t>Istanbul Dijital Medya Tic. A.S., Legal</w:t>
                  </w:r>
                </w:sdtContent>
              </w:sdt>
            </w:p>
          </w:tc>
        </w:tr>
        <w:tr w:rsidR="00B938A6" w14:paraId="26387581" w14:textId="77777777"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14:paraId="53EB4685" w14:textId="2FD6FD2A" w:rsidR="00B938A6" w:rsidRDefault="00A5047F" w:rsidP="00176F45">
                  <w:pPr>
                    <w:pStyle w:val="Footer"/>
                    <w:spacing w:after="120"/>
                    <w:rPr>
                      <w:rFonts w:ascii="Arial" w:hAnsi="Arial" w:cs="Arial"/>
                      <w:noProof/>
                      <w:sz w:val="20"/>
                      <w:szCs w:val="20"/>
                    </w:rPr>
                  </w:pPr>
                  <w:r>
                    <w:rPr>
                      <w:rFonts w:ascii="Myriad Pro" w:hAnsi="Myriad Pro"/>
                      <w:noProof/>
                      <w:color w:val="808080" w:themeColor="background1" w:themeShade="80"/>
                      <w:sz w:val="20"/>
                      <w:szCs w:val="20"/>
                    </w:rPr>
                    <w:t>2</w:t>
                  </w:r>
                  <w:r w:rsidR="00176F45">
                    <w:rPr>
                      <w:rFonts w:ascii="Myriad Pro" w:hAnsi="Myriad Pro"/>
                      <w:noProof/>
                      <w:color w:val="808080" w:themeColor="background1" w:themeShade="80"/>
                      <w:sz w:val="20"/>
                      <w:szCs w:val="20"/>
                    </w:rPr>
                    <w:t>4</w:t>
                  </w:r>
                  <w:r>
                    <w:rPr>
                      <w:rFonts w:ascii="Myriad Pro" w:hAnsi="Myriad Pro"/>
                      <w:noProof/>
                      <w:color w:val="808080" w:themeColor="background1" w:themeShade="80"/>
                      <w:sz w:val="20"/>
                      <w:szCs w:val="20"/>
                    </w:rPr>
                    <w:t>.11.2015</w:t>
                  </w:r>
                </w:p>
              </w:tc>
            </w:sdtContent>
          </w:sdt>
          <w:tc>
            <w:tcPr>
              <w:tcW w:w="4943" w:type="dxa"/>
            </w:tcPr>
            <w:p w14:paraId="03FD4479" w14:textId="77777777"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14:paraId="5F009B65" w14:textId="77777777" w:rsidR="00557017" w:rsidRPr="00EE349A" w:rsidRDefault="00C1244A" w:rsidP="00B938A6">
        <w:pPr>
          <w:pStyle w:val="Footer"/>
          <w:spacing w:after="120"/>
          <w:rPr>
            <w:rFonts w:ascii="Myriad Pro" w:hAnsi="Myriad Pro"/>
            <w:color w:val="808080" w:themeColor="background1" w:themeShade="80"/>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FCF93" w14:textId="77777777" w:rsidR="00A5047F" w:rsidRDefault="00A50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6F080" w14:textId="77777777" w:rsidR="00C1244A" w:rsidRDefault="00C1244A" w:rsidP="00717533">
      <w:r>
        <w:separator/>
      </w:r>
    </w:p>
  </w:footnote>
  <w:footnote w:type="continuationSeparator" w:id="0">
    <w:p w14:paraId="07A320DD" w14:textId="77777777" w:rsidR="00C1244A" w:rsidRDefault="00C1244A"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31A9" w14:textId="77777777" w:rsidR="00A5047F" w:rsidRDefault="00A50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D78FD" w14:textId="77777777" w:rsidR="00EF4AFB" w:rsidRPr="00EE59E1" w:rsidRDefault="00C1244A">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C466C7">
          <w:rPr>
            <w:rFonts w:ascii="Myriad Pro" w:eastAsiaTheme="majorEastAsia" w:hAnsi="Myriad Pro" w:cstheme="majorBidi"/>
            <w:sz w:val="32"/>
            <w:szCs w:val="32"/>
          </w:rPr>
          <w:t>General Dispute Resolution</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24DB" w14:textId="77777777" w:rsidR="00A5047F" w:rsidRDefault="00A50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5C34DF"/>
    <w:multiLevelType w:val="multilevel"/>
    <w:tmpl w:val="16F2813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3">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8">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A571F5B"/>
    <w:multiLevelType w:val="multilevel"/>
    <w:tmpl w:val="EC422E0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3"/>
  </w:num>
  <w:num w:numId="6">
    <w:abstractNumId w:val="17"/>
  </w:num>
  <w:num w:numId="7">
    <w:abstractNumId w:val="21"/>
  </w:num>
  <w:num w:numId="8">
    <w:abstractNumId w:val="10"/>
  </w:num>
  <w:num w:numId="9">
    <w:abstractNumId w:val="7"/>
  </w:num>
  <w:num w:numId="10">
    <w:abstractNumId w:val="13"/>
  </w:num>
  <w:num w:numId="11">
    <w:abstractNumId w:val="4"/>
  </w:num>
  <w:num w:numId="12">
    <w:abstractNumId w:val="12"/>
  </w:num>
  <w:num w:numId="13">
    <w:abstractNumId w:val="11"/>
  </w:num>
  <w:num w:numId="14">
    <w:abstractNumId w:val="2"/>
  </w:num>
  <w:num w:numId="15">
    <w:abstractNumId w:val="8"/>
  </w:num>
  <w:num w:numId="16">
    <w:abstractNumId w:val="1"/>
  </w:num>
  <w:num w:numId="17">
    <w:abstractNumId w:val="9"/>
  </w:num>
  <w:num w:numId="18">
    <w:abstractNumId w:val="6"/>
  </w:num>
  <w:num w:numId="19">
    <w:abstractNumId w:val="0"/>
  </w:num>
  <w:num w:numId="20">
    <w:abstractNumId w:val="5"/>
  </w:num>
  <w:num w:numId="21">
    <w:abstractNumId w:val="19"/>
  </w:num>
  <w:num w:numId="22">
    <w:abstractNumId w:val="20"/>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529E0"/>
    <w:rsid w:val="000631A3"/>
    <w:rsid w:val="000867A7"/>
    <w:rsid w:val="000A1A9F"/>
    <w:rsid w:val="000B5FF6"/>
    <w:rsid w:val="000D6727"/>
    <w:rsid w:val="000F75EF"/>
    <w:rsid w:val="00110ACE"/>
    <w:rsid w:val="00112651"/>
    <w:rsid w:val="00126B21"/>
    <w:rsid w:val="00141339"/>
    <w:rsid w:val="00172505"/>
    <w:rsid w:val="00176F45"/>
    <w:rsid w:val="00186A07"/>
    <w:rsid w:val="001A4ACA"/>
    <w:rsid w:val="001D7A92"/>
    <w:rsid w:val="001E4EBA"/>
    <w:rsid w:val="001E65BE"/>
    <w:rsid w:val="001F72D6"/>
    <w:rsid w:val="002079E8"/>
    <w:rsid w:val="00217B05"/>
    <w:rsid w:val="00240DB4"/>
    <w:rsid w:val="00255A48"/>
    <w:rsid w:val="002607B7"/>
    <w:rsid w:val="002878A7"/>
    <w:rsid w:val="002878E7"/>
    <w:rsid w:val="002B7919"/>
    <w:rsid w:val="002D3063"/>
    <w:rsid w:val="002D5787"/>
    <w:rsid w:val="002D750D"/>
    <w:rsid w:val="0031115B"/>
    <w:rsid w:val="0032089A"/>
    <w:rsid w:val="00342B23"/>
    <w:rsid w:val="00361AFF"/>
    <w:rsid w:val="0037526F"/>
    <w:rsid w:val="003A40DC"/>
    <w:rsid w:val="003C4EE6"/>
    <w:rsid w:val="003E246B"/>
    <w:rsid w:val="003E6368"/>
    <w:rsid w:val="003F69B5"/>
    <w:rsid w:val="00400CFB"/>
    <w:rsid w:val="00436E4D"/>
    <w:rsid w:val="0044694F"/>
    <w:rsid w:val="004565A4"/>
    <w:rsid w:val="00480752"/>
    <w:rsid w:val="004C1C40"/>
    <w:rsid w:val="004C3063"/>
    <w:rsid w:val="004D6C6B"/>
    <w:rsid w:val="005032B3"/>
    <w:rsid w:val="00557017"/>
    <w:rsid w:val="0059024E"/>
    <w:rsid w:val="00592949"/>
    <w:rsid w:val="005A567B"/>
    <w:rsid w:val="005C3D87"/>
    <w:rsid w:val="005D6DB4"/>
    <w:rsid w:val="006251EF"/>
    <w:rsid w:val="006322E1"/>
    <w:rsid w:val="00642BAD"/>
    <w:rsid w:val="006451F4"/>
    <w:rsid w:val="006B772C"/>
    <w:rsid w:val="006D1099"/>
    <w:rsid w:val="00705D3A"/>
    <w:rsid w:val="00717533"/>
    <w:rsid w:val="0077707E"/>
    <w:rsid w:val="007A536D"/>
    <w:rsid w:val="007B0167"/>
    <w:rsid w:val="007D0756"/>
    <w:rsid w:val="007E469F"/>
    <w:rsid w:val="0082103F"/>
    <w:rsid w:val="008340B7"/>
    <w:rsid w:val="00837211"/>
    <w:rsid w:val="00887426"/>
    <w:rsid w:val="0089169D"/>
    <w:rsid w:val="008A78FE"/>
    <w:rsid w:val="009158A4"/>
    <w:rsid w:val="00924004"/>
    <w:rsid w:val="00930A7B"/>
    <w:rsid w:val="009324A9"/>
    <w:rsid w:val="00945554"/>
    <w:rsid w:val="00967DAE"/>
    <w:rsid w:val="009964CF"/>
    <w:rsid w:val="00996FE4"/>
    <w:rsid w:val="009A47B8"/>
    <w:rsid w:val="009C1447"/>
    <w:rsid w:val="009D1083"/>
    <w:rsid w:val="00A128B4"/>
    <w:rsid w:val="00A35F92"/>
    <w:rsid w:val="00A40106"/>
    <w:rsid w:val="00A41D75"/>
    <w:rsid w:val="00A44404"/>
    <w:rsid w:val="00A5047F"/>
    <w:rsid w:val="00A50666"/>
    <w:rsid w:val="00A57FB8"/>
    <w:rsid w:val="00A63F1D"/>
    <w:rsid w:val="00A64F2F"/>
    <w:rsid w:val="00A86479"/>
    <w:rsid w:val="00AA135B"/>
    <w:rsid w:val="00AB2828"/>
    <w:rsid w:val="00AB62F9"/>
    <w:rsid w:val="00AC5310"/>
    <w:rsid w:val="00AC7927"/>
    <w:rsid w:val="00AD25E0"/>
    <w:rsid w:val="00AF6147"/>
    <w:rsid w:val="00B22EF5"/>
    <w:rsid w:val="00B26CE9"/>
    <w:rsid w:val="00B311D4"/>
    <w:rsid w:val="00B35199"/>
    <w:rsid w:val="00B400CC"/>
    <w:rsid w:val="00B53CD4"/>
    <w:rsid w:val="00B938A6"/>
    <w:rsid w:val="00BA3A87"/>
    <w:rsid w:val="00BA4073"/>
    <w:rsid w:val="00BD72BB"/>
    <w:rsid w:val="00BE0CC4"/>
    <w:rsid w:val="00C1244A"/>
    <w:rsid w:val="00C27179"/>
    <w:rsid w:val="00C466C7"/>
    <w:rsid w:val="00C501E0"/>
    <w:rsid w:val="00C727C0"/>
    <w:rsid w:val="00C87EDB"/>
    <w:rsid w:val="00CA5F56"/>
    <w:rsid w:val="00CC3078"/>
    <w:rsid w:val="00CE2C18"/>
    <w:rsid w:val="00CE3794"/>
    <w:rsid w:val="00CE7634"/>
    <w:rsid w:val="00CF0243"/>
    <w:rsid w:val="00D01C54"/>
    <w:rsid w:val="00D41D04"/>
    <w:rsid w:val="00D7687D"/>
    <w:rsid w:val="00D80037"/>
    <w:rsid w:val="00DB2828"/>
    <w:rsid w:val="00DC5A3D"/>
    <w:rsid w:val="00DC5B1A"/>
    <w:rsid w:val="00DD1B23"/>
    <w:rsid w:val="00E75019"/>
    <w:rsid w:val="00E953C2"/>
    <w:rsid w:val="00EE349A"/>
    <w:rsid w:val="00EE59E1"/>
    <w:rsid w:val="00EF274C"/>
    <w:rsid w:val="00EF4AFB"/>
    <w:rsid w:val="00EF72EC"/>
    <w:rsid w:val="00F154B5"/>
    <w:rsid w:val="00F47DDE"/>
    <w:rsid w:val="00F62186"/>
    <w:rsid w:val="00F728FE"/>
    <w:rsid w:val="00F74A67"/>
    <w:rsid w:val="00F97F30"/>
    <w:rsid w:val="00FA6019"/>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12FA8"/>
  <w15:docId w15:val="{A1B4654C-992E-4EE1-B898-B393B771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 w:type="character" w:styleId="CommentReference">
    <w:name w:val="annotation reference"/>
    <w:basedOn w:val="DefaultParagraphFont"/>
    <w:uiPriority w:val="99"/>
    <w:semiHidden/>
    <w:unhideWhenUsed/>
    <w:rsid w:val="00AF6147"/>
    <w:rPr>
      <w:sz w:val="16"/>
      <w:szCs w:val="16"/>
    </w:rPr>
  </w:style>
  <w:style w:type="paragraph" w:styleId="CommentText">
    <w:name w:val="annotation text"/>
    <w:basedOn w:val="Normal"/>
    <w:link w:val="CommentTextChar"/>
    <w:uiPriority w:val="99"/>
    <w:semiHidden/>
    <w:unhideWhenUsed/>
    <w:rsid w:val="00AF6147"/>
    <w:rPr>
      <w:sz w:val="20"/>
      <w:szCs w:val="20"/>
    </w:rPr>
  </w:style>
  <w:style w:type="character" w:customStyle="1" w:styleId="CommentTextChar">
    <w:name w:val="Comment Text Char"/>
    <w:basedOn w:val="DefaultParagraphFont"/>
    <w:link w:val="CommentText"/>
    <w:uiPriority w:val="99"/>
    <w:semiHidden/>
    <w:rsid w:val="00AF6147"/>
    <w:rPr>
      <w:sz w:val="20"/>
      <w:szCs w:val="20"/>
    </w:rPr>
  </w:style>
  <w:style w:type="paragraph" w:styleId="CommentSubject">
    <w:name w:val="annotation subject"/>
    <w:basedOn w:val="CommentText"/>
    <w:next w:val="CommentText"/>
    <w:link w:val="CommentSubjectChar"/>
    <w:uiPriority w:val="99"/>
    <w:semiHidden/>
    <w:unhideWhenUsed/>
    <w:rsid w:val="00AF6147"/>
    <w:rPr>
      <w:b/>
      <w:bCs/>
    </w:rPr>
  </w:style>
  <w:style w:type="character" w:customStyle="1" w:styleId="CommentSubjectChar">
    <w:name w:val="Comment Subject Char"/>
    <w:basedOn w:val="CommentTextChar"/>
    <w:link w:val="CommentSubject"/>
    <w:uiPriority w:val="99"/>
    <w:semiHidden/>
    <w:rsid w:val="00AF61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086725182">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031BDB"/>
    <w:rsid w:val="00180B6F"/>
    <w:rsid w:val="0018273D"/>
    <w:rsid w:val="00345C0C"/>
    <w:rsid w:val="00463FC0"/>
    <w:rsid w:val="0048190E"/>
    <w:rsid w:val="00524B86"/>
    <w:rsid w:val="007C5A54"/>
    <w:rsid w:val="00B8148F"/>
    <w:rsid w:val="00C27715"/>
    <w:rsid w:val="00DE1C94"/>
    <w:rsid w:val="00F63940"/>
    <w:rsid w:val="00FC4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3CFCBD-48BB-48FC-BDE2-D6D070C5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4486</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General Dispute Resolution Policy</vt:lpstr>
      <vt:lpstr/>
    </vt:vector>
  </TitlesOfParts>
  <Company>Istanbul Dijital Medya Tic. A.S., Legal</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Dispute Resolution Policy</dc:title>
  <dc:subject/>
  <dc:creator>Registry Operator</dc:creator>
  <cp:keywords/>
  <dc:description>Document version: GDRP-002</dc:description>
  <cp:lastModifiedBy>Gözde ŞEKER</cp:lastModifiedBy>
  <cp:revision>6</cp:revision>
  <dcterms:created xsi:type="dcterms:W3CDTF">2015-11-22T18:09:00Z</dcterms:created>
  <dcterms:modified xsi:type="dcterms:W3CDTF">2015-11-25T08:12:00Z</dcterms:modified>
  <cp:contentStatus>Document version: WP-002</cp:contentStatus>
</cp:coreProperties>
</file>