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EACB9" w14:textId="77777777" w:rsidR="00955A25" w:rsidRDefault="00955A25" w:rsidP="00F06D8F">
      <w:pPr>
        <w:autoSpaceDE w:val="0"/>
        <w:autoSpaceDN w:val="0"/>
        <w:adjustRightInd w:val="0"/>
        <w:contextualSpacing/>
        <w:jc w:val="center"/>
        <w:rPr>
          <w:rFonts w:ascii="Century Gothic" w:hAnsi="Century Gothic" w:cs="Arial"/>
          <w:bCs/>
          <w:color w:val="FF0000"/>
          <w:sz w:val="36"/>
          <w:szCs w:val="30"/>
        </w:rPr>
      </w:pPr>
      <w:r w:rsidRPr="00334CC4">
        <w:rPr>
          <w:rFonts w:ascii="Century Gothic" w:hAnsi="Century Gothic" w:cs="Arial"/>
          <w:bCs/>
          <w:color w:val="FF0000"/>
          <w:sz w:val="36"/>
          <w:szCs w:val="30"/>
        </w:rPr>
        <w:t xml:space="preserve">Minds + Machines </w:t>
      </w:r>
      <w:r w:rsidR="00F06D8F">
        <w:rPr>
          <w:rFonts w:ascii="Century Gothic" w:hAnsi="Century Gothic" w:cs="Arial"/>
          <w:bCs/>
          <w:color w:val="FF0000"/>
          <w:sz w:val="36"/>
          <w:szCs w:val="30"/>
        </w:rPr>
        <w:t>Sunrise Dispute Resolution Policy</w:t>
      </w:r>
    </w:p>
    <w:p w14:paraId="7AB4F531" w14:textId="77777777" w:rsidR="00F06D8F" w:rsidRDefault="00F06D8F" w:rsidP="00F06D8F">
      <w:pPr>
        <w:autoSpaceDE w:val="0"/>
        <w:autoSpaceDN w:val="0"/>
        <w:adjustRightInd w:val="0"/>
        <w:contextualSpacing/>
        <w:jc w:val="both"/>
        <w:rPr>
          <w:rFonts w:ascii="Helvetica Neue" w:hAnsi="Helvetica Neue" w:cs="Arial"/>
          <w:sz w:val="22"/>
          <w:szCs w:val="30"/>
        </w:rPr>
      </w:pPr>
      <w:bookmarkStart w:id="0" w:name="_Toc199226638"/>
    </w:p>
    <w:p w14:paraId="0B2F5DA7" w14:textId="7FA601FA" w:rsidR="00F06D8F" w:rsidRDefault="00F06D8F" w:rsidP="00F06D8F">
      <w:pPr>
        <w:autoSpaceDE w:val="0"/>
        <w:autoSpaceDN w:val="0"/>
        <w:adjustRightInd w:val="0"/>
        <w:contextualSpacing/>
        <w:jc w:val="both"/>
        <w:rPr>
          <w:rFonts w:ascii="Helvetica Neue" w:hAnsi="Helvetica Neue" w:cs="Arial"/>
          <w:sz w:val="22"/>
          <w:szCs w:val="30"/>
        </w:rPr>
      </w:pPr>
      <w:r w:rsidRPr="002E07F4">
        <w:rPr>
          <w:rFonts w:ascii="Helvetica Light" w:hAnsi="Helvetica Light" w:cs="Arial"/>
          <w:sz w:val="22"/>
          <w:szCs w:val="22"/>
        </w:rPr>
        <w:t xml:space="preserve">This Sunrise Dispute Resolution Policy (the “SDRP”) is incorporated by reference into the Registration Agreement. This SDRP is effective as of </w:t>
      </w:r>
      <w:r>
        <w:rPr>
          <w:rFonts w:ascii="Helvetica Light" w:hAnsi="Helvetica Light" w:cs="Arial"/>
          <w:sz w:val="22"/>
          <w:szCs w:val="22"/>
        </w:rPr>
        <w:t xml:space="preserve">11 March 2014. </w:t>
      </w:r>
      <w:r w:rsidRPr="002E07F4">
        <w:rPr>
          <w:rFonts w:ascii="Helvetica Light" w:hAnsi="Helvetica Light" w:cs="Arial"/>
          <w:sz w:val="22"/>
          <w:szCs w:val="22"/>
        </w:rPr>
        <w:t>An SDRP Complaint may be filed against a do</w:t>
      </w:r>
      <w:r w:rsidR="00B61823">
        <w:rPr>
          <w:rFonts w:ascii="Helvetica Light" w:hAnsi="Helvetica Light" w:cs="Arial"/>
          <w:sz w:val="22"/>
          <w:szCs w:val="22"/>
        </w:rPr>
        <w:t xml:space="preserve">main name registered during </w:t>
      </w:r>
      <w:r w:rsidRPr="002E07F4">
        <w:rPr>
          <w:rFonts w:ascii="Helvetica Light" w:hAnsi="Helvetica Light" w:cs="Arial"/>
          <w:sz w:val="22"/>
          <w:szCs w:val="22"/>
        </w:rPr>
        <w:t>its sunrise period</w:t>
      </w:r>
      <w:r w:rsidR="00B61823">
        <w:rPr>
          <w:rFonts w:ascii="Helvetica Light" w:hAnsi="Helvetica Light" w:cs="Arial"/>
          <w:sz w:val="22"/>
          <w:szCs w:val="22"/>
        </w:rPr>
        <w:t>s</w:t>
      </w:r>
      <w:r w:rsidRPr="002E07F4">
        <w:rPr>
          <w:rFonts w:ascii="Helvetica Light" w:hAnsi="Helvetica Light" w:cs="Arial"/>
          <w:sz w:val="22"/>
          <w:szCs w:val="22"/>
        </w:rPr>
        <w:t>, until</w:t>
      </w:r>
      <w:r>
        <w:rPr>
          <w:rFonts w:ascii="Helvetica Light" w:hAnsi="Helvetica Light" w:cs="Arial"/>
          <w:sz w:val="22"/>
          <w:szCs w:val="22"/>
        </w:rPr>
        <w:t xml:space="preserve"> </w:t>
      </w:r>
      <w:r w:rsidR="00715977">
        <w:rPr>
          <w:rFonts w:ascii="Helvetica Light" w:hAnsi="Helvetica Light" w:cs="Arial"/>
          <w:sz w:val="22"/>
          <w:szCs w:val="22"/>
        </w:rPr>
        <w:t>fifteen (15) days</w:t>
      </w:r>
      <w:r w:rsidR="00B61823">
        <w:rPr>
          <w:rFonts w:ascii="Helvetica Light" w:hAnsi="Helvetica Light" w:cs="Arial"/>
          <w:sz w:val="22"/>
          <w:szCs w:val="22"/>
        </w:rPr>
        <w:t xml:space="preserve"> after the close of the </w:t>
      </w:r>
      <w:r w:rsidR="007F722A">
        <w:rPr>
          <w:rFonts w:ascii="Helvetica Light" w:hAnsi="Helvetica Light" w:cs="Arial"/>
          <w:sz w:val="22"/>
          <w:szCs w:val="22"/>
        </w:rPr>
        <w:t>sunrise period</w:t>
      </w:r>
      <w:r w:rsidRPr="002E07F4">
        <w:rPr>
          <w:rFonts w:ascii="Helvetica Light" w:hAnsi="Helvetica Light" w:cs="Arial"/>
          <w:sz w:val="22"/>
          <w:szCs w:val="22"/>
        </w:rPr>
        <w:t>.</w:t>
      </w:r>
    </w:p>
    <w:p w14:paraId="33288518" w14:textId="77777777" w:rsidR="00F06D8F" w:rsidRDefault="00F06D8F" w:rsidP="00F06D8F">
      <w:pPr>
        <w:pStyle w:val="Heading2"/>
        <w:keepNext w:val="0"/>
        <w:contextualSpacing/>
        <w:jc w:val="both"/>
        <w:rPr>
          <w:rFonts w:ascii="Century Gothic" w:hAnsi="Century Gothic"/>
          <w:b w:val="0"/>
          <w:i w:val="0"/>
          <w:color w:val="FF0000"/>
        </w:rPr>
      </w:pPr>
    </w:p>
    <w:p w14:paraId="3486B0C0" w14:textId="77777777" w:rsidR="00955A25" w:rsidRPr="00F06D8F" w:rsidRDefault="00955A25" w:rsidP="00F06D8F">
      <w:pPr>
        <w:pStyle w:val="Heading2"/>
        <w:keepNext w:val="0"/>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1.</w:t>
      </w:r>
      <w:bookmarkEnd w:id="0"/>
      <w:r w:rsidR="00F06D8F">
        <w:rPr>
          <w:rFonts w:ascii="Century Gothic" w:hAnsi="Century Gothic"/>
          <w:b w:val="0"/>
          <w:i w:val="0"/>
          <w:color w:val="FF0000"/>
        </w:rPr>
        <w:tab/>
      </w:r>
      <w:r w:rsidR="00F06D8F" w:rsidRPr="00F06D8F">
        <w:rPr>
          <w:rFonts w:ascii="Century Gothic" w:hAnsi="Century Gothic"/>
          <w:b w:val="0"/>
          <w:i w:val="0"/>
          <w:color w:val="FF0000"/>
        </w:rPr>
        <w:t>Purpose</w:t>
      </w:r>
    </w:p>
    <w:p w14:paraId="2E379715" w14:textId="1EA6D5C0" w:rsidR="00F06D8F" w:rsidRDefault="007F722A" w:rsidP="00F06D8F">
      <w:pPr>
        <w:jc w:val="both"/>
        <w:rPr>
          <w:rFonts w:ascii="Helvetica Light" w:hAnsi="Helvetica Light" w:cs="Arial"/>
          <w:sz w:val="22"/>
          <w:szCs w:val="22"/>
        </w:rPr>
      </w:pPr>
      <w:bookmarkStart w:id="1" w:name="_Toc199226642"/>
      <w:r>
        <w:rPr>
          <w:rFonts w:ascii="Helvetica Light" w:hAnsi="Helvetica Light" w:cs="Arial"/>
          <w:sz w:val="22"/>
          <w:szCs w:val="22"/>
        </w:rPr>
        <w:t>Domain names in the</w:t>
      </w:r>
      <w:r w:rsidR="00F06D8F" w:rsidRPr="002E07F4">
        <w:rPr>
          <w:rFonts w:ascii="Helvetica Light" w:hAnsi="Helvetica Light" w:cs="Arial"/>
          <w:sz w:val="22"/>
          <w:szCs w:val="22"/>
        </w:rPr>
        <w:t xml:space="preserve"> TLD </w:t>
      </w:r>
      <w:r>
        <w:rPr>
          <w:rFonts w:ascii="Helvetica Light" w:hAnsi="Helvetica Light" w:cs="Arial"/>
          <w:sz w:val="22"/>
          <w:szCs w:val="22"/>
        </w:rPr>
        <w:t xml:space="preserve">in question </w:t>
      </w:r>
      <w:r w:rsidR="00F06D8F" w:rsidRPr="002E07F4">
        <w:rPr>
          <w:rFonts w:ascii="Helvetica Light" w:hAnsi="Helvetica Light" w:cs="Arial"/>
          <w:sz w:val="22"/>
          <w:szCs w:val="22"/>
        </w:rPr>
        <w:t>(“the TLD”) can be registered by third parties or reserved by the Registry. This SDRP describes the process and standards that will be applied to resolve challenges alleging that a domain name has been registered, or has been declined to be registered, in violation of the Registry’s SDRP criteria. This SDRP will not be applied to Registry-reserved names in the TLD.</w:t>
      </w:r>
    </w:p>
    <w:p w14:paraId="25ABD899" w14:textId="77777777" w:rsidR="00F06D8F" w:rsidRPr="002E07F4" w:rsidRDefault="00F06D8F" w:rsidP="00F06D8F">
      <w:pPr>
        <w:jc w:val="both"/>
        <w:rPr>
          <w:rFonts w:ascii="Helvetica Light" w:hAnsi="Helvetica Light" w:cs="Arial"/>
          <w:sz w:val="22"/>
          <w:szCs w:val="22"/>
        </w:rPr>
      </w:pPr>
    </w:p>
    <w:p w14:paraId="4CA12280" w14:textId="77777777" w:rsidR="00F06D8F" w:rsidRPr="00F06D8F" w:rsidRDefault="00F06D8F" w:rsidP="00F06D8F">
      <w:pPr>
        <w:pStyle w:val="Heading2"/>
        <w:keepNext w:val="0"/>
        <w:tabs>
          <w:tab w:val="left" w:pos="360"/>
        </w:tabs>
        <w:contextualSpacing/>
        <w:jc w:val="both"/>
        <w:rPr>
          <w:rFonts w:ascii="Century Gothic" w:hAnsi="Century Gothic"/>
          <w:b w:val="0"/>
          <w:i w:val="0"/>
          <w:color w:val="FF0000"/>
        </w:rPr>
      </w:pPr>
      <w:r>
        <w:rPr>
          <w:rFonts w:ascii="Century Gothic" w:hAnsi="Century Gothic"/>
          <w:b w:val="0"/>
          <w:i w:val="0"/>
          <w:color w:val="FF0000"/>
        </w:rPr>
        <w:t>2</w:t>
      </w:r>
      <w:r w:rsidRPr="00F06D8F">
        <w:rPr>
          <w:rFonts w:ascii="Century Gothic" w:hAnsi="Century Gothic"/>
          <w:b w:val="0"/>
          <w:i w:val="0"/>
          <w:color w:val="FF0000"/>
        </w:rPr>
        <w:t>.</w:t>
      </w:r>
      <w:r>
        <w:rPr>
          <w:rFonts w:ascii="Century Gothic" w:hAnsi="Century Gothic"/>
          <w:b w:val="0"/>
          <w:i w:val="0"/>
          <w:color w:val="FF0000"/>
        </w:rPr>
        <w:tab/>
        <w:t>Applicable Disputes</w:t>
      </w:r>
    </w:p>
    <w:bookmarkEnd w:id="1"/>
    <w:p w14:paraId="5CB555D3" w14:textId="44129B5D"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 xml:space="preserve">A registered domain name in the TLD will be subject to an administrative proceeding upon submission of a complaint that the Sunrise </w:t>
      </w:r>
      <w:r w:rsidRPr="00715977">
        <w:rPr>
          <w:rFonts w:ascii="Helvetica Light" w:hAnsi="Helvetica Light" w:cs="Arial"/>
          <w:sz w:val="22"/>
          <w:szCs w:val="22"/>
        </w:rPr>
        <w:t>Registration or denial of a Sunrise registration</w:t>
      </w:r>
      <w:r w:rsidRPr="002E07F4">
        <w:rPr>
          <w:rFonts w:ascii="Helvetica Light" w:hAnsi="Helvetica Light" w:cs="Arial"/>
          <w:sz w:val="22"/>
          <w:szCs w:val="22"/>
        </w:rPr>
        <w:t xml:space="preserve"> was improper under one or more of the following criteria.</w:t>
      </w:r>
    </w:p>
    <w:p w14:paraId="33AA6AE0" w14:textId="77777777" w:rsidR="00F06D8F" w:rsidRDefault="00F06D8F" w:rsidP="00F06D8F">
      <w:pPr>
        <w:jc w:val="both"/>
        <w:rPr>
          <w:rFonts w:ascii="Helvetica Light" w:hAnsi="Helvetica Light" w:cs="Arial"/>
          <w:sz w:val="22"/>
          <w:szCs w:val="22"/>
        </w:rPr>
      </w:pPr>
    </w:p>
    <w:p w14:paraId="2BD2EA71" w14:textId="77777777" w:rsidR="00F06D8F" w:rsidRDefault="00F06D8F" w:rsidP="00F06D8F">
      <w:pPr>
        <w:pStyle w:val="Heading3"/>
        <w:numPr>
          <w:ilvl w:val="0"/>
          <w:numId w:val="36"/>
        </w:numPr>
        <w:ind w:left="360"/>
        <w:jc w:val="both"/>
        <w:rPr>
          <w:rFonts w:ascii="Century Gothic" w:hAnsi="Century Gothic"/>
          <w:b w:val="0"/>
          <w:color w:val="auto"/>
        </w:rPr>
      </w:pPr>
      <w:r>
        <w:rPr>
          <w:rFonts w:ascii="Century Gothic" w:hAnsi="Century Gothic"/>
          <w:b w:val="0"/>
          <w:color w:val="auto"/>
        </w:rPr>
        <w:t xml:space="preserve">Improper Sunrise </w:t>
      </w:r>
      <w:r w:rsidRPr="00F06D8F">
        <w:rPr>
          <w:rFonts w:ascii="Century Gothic" w:hAnsi="Century Gothic"/>
          <w:b w:val="0"/>
          <w:color w:val="auto"/>
        </w:rPr>
        <w:t>Registration</w:t>
      </w:r>
      <w:r>
        <w:rPr>
          <w:rFonts w:ascii="Century Gothic" w:hAnsi="Century Gothic"/>
          <w:b w:val="0"/>
          <w:color w:val="auto"/>
        </w:rPr>
        <w:t>-Trademarks</w:t>
      </w:r>
      <w:r w:rsidRPr="00F06D8F">
        <w:rPr>
          <w:rStyle w:val="FootnoteReference"/>
          <w:rFonts w:ascii="Century Gothic" w:hAnsi="Century Gothic" w:cs="Arial"/>
          <w:b w:val="0"/>
        </w:rPr>
        <w:footnoteReference w:id="1"/>
      </w:r>
    </w:p>
    <w:p w14:paraId="5578CD70"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A complaint under this section shall be required to show by reasonable evidence that a registered domain name in the TLD does not comply with the provisions of the Registry’s Sunrise Program.</w:t>
      </w:r>
      <w:r>
        <w:rPr>
          <w:rFonts w:ascii="Helvetica Light" w:hAnsi="Helvetica Light" w:cs="Arial"/>
          <w:sz w:val="22"/>
          <w:szCs w:val="22"/>
        </w:rPr>
        <w:t xml:space="preserve"> </w:t>
      </w:r>
      <w:r w:rsidRPr="002E07F4">
        <w:rPr>
          <w:rFonts w:ascii="Helvetica Light" w:hAnsi="Helvetica Light" w:cs="Arial"/>
          <w:sz w:val="22"/>
          <w:szCs w:val="22"/>
        </w:rPr>
        <w:t>The complaint must prove one or more of the following elements:</w:t>
      </w:r>
    </w:p>
    <w:p w14:paraId="166E1A1B" w14:textId="77777777" w:rsidR="00F06D8F" w:rsidRPr="002E07F4" w:rsidRDefault="00F06D8F" w:rsidP="00F06D8F">
      <w:pPr>
        <w:jc w:val="both"/>
        <w:rPr>
          <w:rFonts w:ascii="Helvetica Light" w:hAnsi="Helvetica Light" w:cs="Arial"/>
          <w:sz w:val="22"/>
          <w:szCs w:val="22"/>
        </w:rPr>
      </w:pPr>
    </w:p>
    <w:p w14:paraId="18EC3E2D" w14:textId="77777777" w:rsidR="00F06D8F" w:rsidRDefault="00F06D8F" w:rsidP="00F06D8F">
      <w:pPr>
        <w:pStyle w:val="ListParagraph"/>
        <w:numPr>
          <w:ilvl w:val="0"/>
          <w:numId w:val="3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 xml:space="preserve">at time the challenged domain name was registered, the registrant did not hold a trademark registration of national effect (or regional effect) or the trademark had not been court-validated or </w:t>
      </w:r>
      <w:r>
        <w:rPr>
          <w:rFonts w:ascii="Helvetica Light" w:hAnsi="Helvetica Light" w:cs="Arial"/>
          <w:sz w:val="22"/>
          <w:szCs w:val="22"/>
        </w:rPr>
        <w:t>protected by statute or treaty;</w:t>
      </w:r>
    </w:p>
    <w:p w14:paraId="3A19F8F3" w14:textId="77777777" w:rsidR="00F06D8F" w:rsidRPr="002E07F4" w:rsidRDefault="00F06D8F" w:rsidP="00F06D8F">
      <w:pPr>
        <w:pStyle w:val="ListParagraph"/>
        <w:spacing w:after="200" w:line="276" w:lineRule="auto"/>
        <w:ind w:left="540"/>
        <w:contextualSpacing/>
        <w:jc w:val="both"/>
        <w:rPr>
          <w:rFonts w:ascii="Helvetica Light" w:hAnsi="Helvetica Light" w:cs="Arial"/>
          <w:sz w:val="22"/>
          <w:szCs w:val="22"/>
        </w:rPr>
      </w:pPr>
    </w:p>
    <w:p w14:paraId="11704963" w14:textId="77777777" w:rsidR="00F06D8F" w:rsidRPr="00F06D8F" w:rsidRDefault="00F06D8F" w:rsidP="00F06D8F">
      <w:pPr>
        <w:pStyle w:val="ListParagraph"/>
        <w:numPr>
          <w:ilvl w:val="0"/>
          <w:numId w:val="3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domain name is not identical to the mark on which the registrant based its Sunrise registration;</w:t>
      </w:r>
      <w:r w:rsidRPr="002E07F4">
        <w:rPr>
          <w:rStyle w:val="FootnoteReference"/>
          <w:rFonts w:ascii="Helvetica Light" w:hAnsi="Helvetica Light" w:cs="Arial"/>
          <w:sz w:val="22"/>
          <w:szCs w:val="22"/>
        </w:rPr>
        <w:footnoteReference w:id="2"/>
      </w:r>
    </w:p>
    <w:p w14:paraId="1BBC1CE7"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1AAD9DC4" w14:textId="77777777" w:rsidR="00F06D8F" w:rsidRDefault="00F06D8F" w:rsidP="00F06D8F">
      <w:pPr>
        <w:pStyle w:val="ListParagraph"/>
        <w:numPr>
          <w:ilvl w:val="0"/>
          <w:numId w:val="3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trademark registration on which the registrant based its Sunrise registration is not of national effect (or regional effect) or the trademark had not been court-validated or protected by statute or treaty; or</w:t>
      </w:r>
    </w:p>
    <w:p w14:paraId="118A257F"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7BCD42F0" w14:textId="77777777" w:rsidR="00F06D8F" w:rsidRPr="002E07F4" w:rsidRDefault="00F06D8F" w:rsidP="00F06D8F">
      <w:pPr>
        <w:pStyle w:val="ListParagraph"/>
        <w:numPr>
          <w:ilvl w:val="0"/>
          <w:numId w:val="3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trademark registration on which the domain name registrant based its Sunrise registration did not issue on or before the date specified by the Registry in its Sunrise Criteria, if one was specified.</w:t>
      </w:r>
    </w:p>
    <w:p w14:paraId="0C8DEE2C" w14:textId="18DF1136" w:rsidR="00F06D8F" w:rsidRPr="00F06D8F" w:rsidRDefault="00F06D8F" w:rsidP="00F06D8F">
      <w:pPr>
        <w:pStyle w:val="Heading3"/>
        <w:numPr>
          <w:ilvl w:val="0"/>
          <w:numId w:val="36"/>
        </w:numPr>
        <w:ind w:left="360"/>
        <w:jc w:val="both"/>
        <w:rPr>
          <w:rFonts w:ascii="Century Gothic" w:hAnsi="Century Gothic"/>
          <w:b w:val="0"/>
          <w:color w:val="auto"/>
        </w:rPr>
      </w:pPr>
      <w:r w:rsidRPr="00F06D8F">
        <w:rPr>
          <w:rFonts w:ascii="Century Gothic" w:hAnsi="Century Gothic"/>
          <w:b w:val="0"/>
          <w:color w:val="auto"/>
        </w:rPr>
        <w:lastRenderedPageBreak/>
        <w:t>Improper Sunrise Registration-Eligibility and Allocation</w:t>
      </w:r>
      <w:r w:rsidRPr="00F06D8F">
        <w:rPr>
          <w:rStyle w:val="FootnoteReference"/>
          <w:rFonts w:cs="Arial"/>
          <w:b w:val="0"/>
          <w:color w:val="auto"/>
        </w:rPr>
        <w:footnoteReference w:id="3"/>
      </w:r>
    </w:p>
    <w:p w14:paraId="3BF6C090" w14:textId="77777777" w:rsidR="00F06D8F" w:rsidRDefault="00F06D8F" w:rsidP="00F06D8F">
      <w:pPr>
        <w:jc w:val="both"/>
        <w:rPr>
          <w:rFonts w:ascii="Helvetica Light" w:hAnsi="Helvetica Light" w:cs="Arial"/>
          <w:bCs/>
          <w:sz w:val="22"/>
          <w:szCs w:val="22"/>
        </w:rPr>
      </w:pPr>
      <w:r w:rsidRPr="00F06D8F">
        <w:rPr>
          <w:rFonts w:ascii="Helvetica Light" w:hAnsi="Helvetica Light" w:cs="Arial"/>
          <w:sz w:val="22"/>
          <w:szCs w:val="22"/>
        </w:rPr>
        <w:t>The Registry’s additional Sunrise or registration eligibility or allocation criteria (called “Sunrise Criteria”</w:t>
      </w:r>
      <w:r w:rsidRPr="00F06D8F">
        <w:rPr>
          <w:rStyle w:val="FootnoteReference"/>
          <w:rFonts w:ascii="Helvetica Light" w:hAnsi="Helvetica Light"/>
        </w:rPr>
        <w:footnoteReference w:id="4"/>
      </w:r>
      <w:r w:rsidRPr="00F06D8F">
        <w:rPr>
          <w:rStyle w:val="FootnoteReference"/>
        </w:rPr>
        <w:t xml:space="preserve"> </w:t>
      </w:r>
      <w:r w:rsidRPr="00F06D8F">
        <w:rPr>
          <w:rFonts w:ascii="Helvetica Light" w:hAnsi="Helvetica Light" w:cs="Arial"/>
          <w:sz w:val="22"/>
          <w:szCs w:val="22"/>
        </w:rPr>
        <w:t xml:space="preserve">) were not met by the Sunrise registrant at the time of the Sunrise registration. </w:t>
      </w:r>
      <w:r w:rsidRPr="00F06D8F">
        <w:rPr>
          <w:rFonts w:ascii="Helvetica Light" w:hAnsi="Helvetica Light" w:cs="Arial"/>
          <w:bCs/>
          <w:sz w:val="22"/>
          <w:szCs w:val="22"/>
        </w:rPr>
        <w:t>The Complainant shall submit a copy of the Registry’s sunrise registration policy with a Complaint based on this SDRP para. 2(b); the sunrise registration policy shall provide the basis for a remedy for the complaint elements (i)-(iv) below (Registry Operator must have expressly declared the following to be part of its Sunrise Criteria).</w:t>
      </w:r>
      <w:r>
        <w:rPr>
          <w:rFonts w:ascii="Helvetica Light" w:hAnsi="Helvetica Light" w:cs="Arial"/>
          <w:bCs/>
          <w:sz w:val="22"/>
          <w:szCs w:val="22"/>
        </w:rPr>
        <w:t xml:space="preserve"> </w:t>
      </w:r>
      <w:r w:rsidRPr="00F06D8F">
        <w:rPr>
          <w:rFonts w:ascii="Helvetica Light" w:hAnsi="Helvetica Light" w:cs="Arial"/>
          <w:bCs/>
          <w:sz w:val="22"/>
          <w:szCs w:val="22"/>
        </w:rPr>
        <w:t>The Complainant may show by the submission of reasonable evidence:</w:t>
      </w:r>
    </w:p>
    <w:p w14:paraId="04461F18" w14:textId="77777777" w:rsidR="00F06D8F" w:rsidRPr="00F06D8F" w:rsidRDefault="00F06D8F" w:rsidP="00F06D8F">
      <w:pPr>
        <w:jc w:val="both"/>
        <w:rPr>
          <w:rFonts w:ascii="Helvetica Light" w:hAnsi="Helvetica Light" w:cs="Arial"/>
          <w:bCs/>
          <w:sz w:val="22"/>
          <w:szCs w:val="22"/>
        </w:rPr>
      </w:pPr>
    </w:p>
    <w:p w14:paraId="112399D6" w14:textId="77777777" w:rsidR="00F06D8F" w:rsidRDefault="00F06D8F" w:rsidP="00F06D8F">
      <w:pPr>
        <w:pStyle w:val="ListParagraph"/>
        <w:numPr>
          <w:ilvl w:val="0"/>
          <w:numId w:val="44"/>
        </w:numPr>
        <w:spacing w:after="200" w:line="276" w:lineRule="auto"/>
        <w:ind w:left="540" w:hanging="180"/>
        <w:contextualSpacing/>
        <w:jc w:val="both"/>
        <w:rPr>
          <w:rFonts w:ascii="Helvetica Light" w:hAnsi="Helvetica Light" w:cs="Arial"/>
          <w:sz w:val="22"/>
          <w:szCs w:val="22"/>
        </w:rPr>
      </w:pPr>
      <w:r w:rsidRPr="00F06D8F">
        <w:rPr>
          <w:rFonts w:ascii="Helvetica Light" w:hAnsi="Helvetica Light" w:cs="Arial"/>
          <w:sz w:val="22"/>
          <w:szCs w:val="22"/>
        </w:rPr>
        <w:t xml:space="preserve">Trademark-related restrictions were not met, were falsified, or were in error at the time of the sunrise </w:t>
      </w:r>
      <w:r w:rsidRPr="002E07F4">
        <w:rPr>
          <w:rFonts w:ascii="Helvetica Light" w:hAnsi="Helvetica Light" w:cs="Arial"/>
          <w:sz w:val="22"/>
          <w:szCs w:val="22"/>
        </w:rPr>
        <w:t>domain name</w:t>
      </w:r>
      <w:r w:rsidRPr="00F06D8F">
        <w:rPr>
          <w:rFonts w:ascii="Helvetica Light" w:hAnsi="Helvetica Light" w:cs="Arial"/>
          <w:sz w:val="22"/>
          <w:szCs w:val="22"/>
        </w:rPr>
        <w:t xml:space="preserve"> registration (such as classes of goods or jurisdiction);</w:t>
      </w:r>
      <w:r w:rsidRPr="00F06D8F">
        <w:rPr>
          <w:rStyle w:val="FootnoteReference"/>
          <w:rFonts w:ascii="Helvetica Light" w:hAnsi="Helvetica Light"/>
        </w:rPr>
        <w:footnoteReference w:id="5"/>
      </w:r>
      <w:r w:rsidRPr="00F06D8F">
        <w:rPr>
          <w:rFonts w:ascii="Helvetica Light" w:hAnsi="Helvetica Light" w:cs="Arial"/>
          <w:sz w:val="22"/>
          <w:szCs w:val="22"/>
        </w:rPr>
        <w:t xml:space="preserve"> or</w:t>
      </w:r>
    </w:p>
    <w:p w14:paraId="1DD17079" w14:textId="77777777" w:rsidR="00F06D8F" w:rsidRP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06D4A19C" w14:textId="77777777" w:rsidR="00F06D8F" w:rsidRPr="002E07F4" w:rsidRDefault="00F06D8F" w:rsidP="00F06D8F">
      <w:pPr>
        <w:pStyle w:val="ListParagraph"/>
        <w:numPr>
          <w:ilvl w:val="0"/>
          <w:numId w:val="4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 xml:space="preserve"> Additional Registry-specific restrictions were not met (such as nexus or local presence), were falsified, or were in error at the time of the sunrise domain name registration;</w:t>
      </w:r>
      <w:r w:rsidRPr="00F06D8F">
        <w:rPr>
          <w:rStyle w:val="FootnoteReference"/>
          <w:rFonts w:ascii="Helvetica Light" w:hAnsi="Helvetica Light"/>
        </w:rPr>
        <w:footnoteReference w:id="6"/>
      </w:r>
      <w:r w:rsidRPr="002E07F4">
        <w:rPr>
          <w:rFonts w:ascii="Helvetica Light" w:hAnsi="Helvetica Light" w:cs="Arial"/>
          <w:sz w:val="22"/>
          <w:szCs w:val="22"/>
        </w:rPr>
        <w:t xml:space="preserve"> or</w:t>
      </w:r>
    </w:p>
    <w:p w14:paraId="2648945F"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4970CAEA" w14:textId="77777777" w:rsidR="00F06D8F" w:rsidRPr="002E07F4" w:rsidRDefault="00F06D8F" w:rsidP="00F06D8F">
      <w:pPr>
        <w:pStyle w:val="ListParagraph"/>
        <w:numPr>
          <w:ilvl w:val="0"/>
          <w:numId w:val="4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information in the Signed Mark Data (SMD) file for the sunrise registration did or does not match the Whois record for the domain name;</w:t>
      </w:r>
      <w:r w:rsidRPr="00F06D8F">
        <w:rPr>
          <w:rStyle w:val="FootnoteReference"/>
          <w:rFonts w:ascii="Helvetica Light" w:hAnsi="Helvetica Light"/>
        </w:rPr>
        <w:footnoteReference w:id="7"/>
      </w:r>
      <w:r w:rsidRPr="002E07F4">
        <w:rPr>
          <w:rFonts w:ascii="Helvetica Light" w:hAnsi="Helvetica Light" w:cs="Arial"/>
          <w:sz w:val="22"/>
          <w:szCs w:val="22"/>
        </w:rPr>
        <w:t xml:space="preserve"> or</w:t>
      </w:r>
    </w:p>
    <w:p w14:paraId="07255B03"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3F213A10" w14:textId="77777777" w:rsidR="00F06D8F" w:rsidRPr="002E07F4" w:rsidRDefault="00F06D8F" w:rsidP="00F06D8F">
      <w:pPr>
        <w:pStyle w:val="ListParagraph"/>
        <w:numPr>
          <w:ilvl w:val="0"/>
          <w:numId w:val="4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date restriction for the registration, validation, or statutory protection of a mark relied upon for the sunrise domain name registration was not met, was falsified or was in error;</w:t>
      </w:r>
      <w:r w:rsidRPr="00F06D8F">
        <w:rPr>
          <w:rStyle w:val="FootnoteReference"/>
          <w:rFonts w:ascii="Helvetica Light" w:hAnsi="Helvetica Light"/>
        </w:rPr>
        <w:footnoteReference w:id="8"/>
      </w:r>
      <w:r w:rsidRPr="002E07F4">
        <w:rPr>
          <w:rFonts w:ascii="Helvetica Light" w:hAnsi="Helvetica Light" w:cs="Arial"/>
          <w:sz w:val="22"/>
          <w:szCs w:val="22"/>
        </w:rPr>
        <w:t xml:space="preserve"> or</w:t>
      </w:r>
    </w:p>
    <w:p w14:paraId="78BD4596"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10237A2A" w14:textId="77777777" w:rsidR="00F06D8F" w:rsidRPr="002E07F4" w:rsidRDefault="00F06D8F" w:rsidP="00F06D8F">
      <w:pPr>
        <w:pStyle w:val="ListParagraph"/>
        <w:numPr>
          <w:ilvl w:val="0"/>
          <w:numId w:val="44"/>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Registry Operator did not adhere to its allocation policy when allocating the domain name at issue, provided a copy of the allocation plan is provided with a complaint under this element;</w:t>
      </w:r>
      <w:r w:rsidRPr="00F06D8F">
        <w:rPr>
          <w:rStyle w:val="FootnoteReference"/>
          <w:rFonts w:ascii="Helvetica Light" w:hAnsi="Helvetica Light"/>
        </w:rPr>
        <w:footnoteReference w:id="9"/>
      </w:r>
      <w:r w:rsidRPr="002E07F4">
        <w:rPr>
          <w:rFonts w:ascii="Helvetica Light" w:hAnsi="Helvetica Light" w:cs="Arial"/>
          <w:sz w:val="22"/>
          <w:szCs w:val="22"/>
        </w:rPr>
        <w:t xml:space="preserve"> or</w:t>
      </w:r>
    </w:p>
    <w:p w14:paraId="3C125BAC"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2753BB17" w14:textId="77777777" w:rsidR="00F06D8F" w:rsidRPr="00F06D8F" w:rsidRDefault="00F06D8F" w:rsidP="00F06D8F">
      <w:pPr>
        <w:pStyle w:val="ListParagraph"/>
        <w:numPr>
          <w:ilvl w:val="0"/>
          <w:numId w:val="44"/>
        </w:numPr>
        <w:spacing w:after="200" w:line="276" w:lineRule="auto"/>
        <w:ind w:left="540" w:hanging="180"/>
        <w:contextualSpacing/>
        <w:jc w:val="both"/>
        <w:rPr>
          <w:rFonts w:ascii="Helvetica Light" w:hAnsi="Helvetica Light" w:cs="Arial"/>
          <w:sz w:val="22"/>
          <w:szCs w:val="22"/>
        </w:rPr>
      </w:pPr>
      <w:r w:rsidRPr="00F06D8F">
        <w:rPr>
          <w:rFonts w:ascii="Helvetica Light" w:hAnsi="Helvetica Light" w:cs="Arial"/>
          <w:sz w:val="22"/>
          <w:szCs w:val="22"/>
        </w:rPr>
        <w:t>the Registry Operator did not apply the community-based eligibility requirements specified in its Registry Agreement, provided that a copy of the community-based eligibility requirements is provided with a complaint under this element.</w:t>
      </w:r>
    </w:p>
    <w:p w14:paraId="523D2085" w14:textId="77777777" w:rsidR="00F06D8F" w:rsidRP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5EB74127" w14:textId="77777777" w:rsidR="00F06D8F" w:rsidRPr="00F06D8F" w:rsidRDefault="00F06D8F" w:rsidP="00F06D8F">
      <w:pPr>
        <w:pStyle w:val="Heading3"/>
        <w:numPr>
          <w:ilvl w:val="0"/>
          <w:numId w:val="36"/>
        </w:numPr>
        <w:ind w:left="360"/>
        <w:jc w:val="both"/>
        <w:rPr>
          <w:rFonts w:ascii="Century Gothic" w:hAnsi="Century Gothic"/>
          <w:b w:val="0"/>
          <w:color w:val="auto"/>
        </w:rPr>
      </w:pPr>
      <w:r>
        <w:rPr>
          <w:rFonts w:ascii="Century Gothic" w:hAnsi="Century Gothic"/>
          <w:b w:val="0"/>
          <w:color w:val="auto"/>
        </w:rPr>
        <w:t>SDRP Effective Dates</w:t>
      </w:r>
    </w:p>
    <w:p w14:paraId="374B6F9A" w14:textId="32D7C7A2" w:rsidR="00F06D8F" w:rsidRPr="002E07F4" w:rsidRDefault="00F06D8F" w:rsidP="00F06D8F">
      <w:pPr>
        <w:jc w:val="both"/>
        <w:rPr>
          <w:rFonts w:ascii="Helvetica Light" w:hAnsi="Helvetica Light" w:cs="Arial"/>
          <w:sz w:val="22"/>
          <w:szCs w:val="22"/>
        </w:rPr>
      </w:pPr>
      <w:r w:rsidRPr="002E07F4">
        <w:rPr>
          <w:rFonts w:ascii="Helvetica Light" w:hAnsi="Helvetica Light" w:cs="Arial"/>
          <w:sz w:val="22"/>
          <w:szCs w:val="22"/>
        </w:rPr>
        <w:t xml:space="preserve">Any SDRP claim brought under this Policy for domain names registered in the </w:t>
      </w:r>
      <w:r w:rsidR="00715977">
        <w:rPr>
          <w:rFonts w:ascii="Helvetica Light" w:hAnsi="Helvetica Light" w:cs="Arial"/>
          <w:sz w:val="22"/>
          <w:szCs w:val="22"/>
        </w:rPr>
        <w:t xml:space="preserve">.london </w:t>
      </w:r>
      <w:r w:rsidRPr="002E07F4">
        <w:rPr>
          <w:rFonts w:ascii="Helvetica Light" w:hAnsi="Helvetica Light" w:cs="Arial"/>
          <w:sz w:val="22"/>
          <w:szCs w:val="22"/>
        </w:rPr>
        <w:t xml:space="preserve">TLD </w:t>
      </w:r>
      <w:r w:rsidRPr="00715977">
        <w:rPr>
          <w:rFonts w:ascii="Helvetica Light" w:hAnsi="Helvetica Light" w:cs="Arial"/>
          <w:sz w:val="22"/>
          <w:szCs w:val="22"/>
        </w:rPr>
        <w:t xml:space="preserve">shall be brought before </w:t>
      </w:r>
      <w:r w:rsidR="00715977" w:rsidRPr="00715977">
        <w:rPr>
          <w:rFonts w:ascii="Helvetica Light" w:hAnsi="Helvetica Light" w:cs="Arial"/>
          <w:sz w:val="22"/>
          <w:szCs w:val="22"/>
        </w:rPr>
        <w:t>fifteen (15) days following the close of the Registry’s Sunrise Program</w:t>
      </w:r>
      <w:r w:rsidRPr="002E07F4">
        <w:rPr>
          <w:rFonts w:ascii="Helvetica Light" w:hAnsi="Helvetica Light" w:cs="Arial"/>
          <w:sz w:val="22"/>
          <w:szCs w:val="22"/>
        </w:rPr>
        <w:t>.</w:t>
      </w:r>
    </w:p>
    <w:p w14:paraId="64053924" w14:textId="77777777" w:rsidR="00F06D8F" w:rsidRPr="00F06D8F" w:rsidRDefault="00F06D8F" w:rsidP="00F06D8F">
      <w:pPr>
        <w:jc w:val="both"/>
      </w:pPr>
    </w:p>
    <w:p w14:paraId="376DFDE2" w14:textId="77777777" w:rsidR="00F06D8F" w:rsidRPr="00F06D8F" w:rsidRDefault="00F06D8F" w:rsidP="00715977">
      <w:pPr>
        <w:pStyle w:val="Heading2"/>
        <w:tabs>
          <w:tab w:val="left" w:pos="360"/>
        </w:tabs>
        <w:contextualSpacing/>
        <w:jc w:val="both"/>
        <w:rPr>
          <w:rFonts w:ascii="Century Gothic" w:hAnsi="Century Gothic"/>
          <w:b w:val="0"/>
          <w:i w:val="0"/>
          <w:color w:val="FF0000"/>
        </w:rPr>
      </w:pPr>
      <w:r>
        <w:rPr>
          <w:rFonts w:ascii="Century Gothic" w:hAnsi="Century Gothic"/>
          <w:b w:val="0"/>
          <w:i w:val="0"/>
          <w:color w:val="FF0000"/>
        </w:rPr>
        <w:t>3.</w:t>
      </w:r>
      <w:r>
        <w:rPr>
          <w:rFonts w:ascii="Century Gothic" w:hAnsi="Century Gothic"/>
          <w:b w:val="0"/>
          <w:i w:val="0"/>
          <w:color w:val="FF0000"/>
        </w:rPr>
        <w:tab/>
      </w:r>
      <w:r w:rsidRPr="00F06D8F">
        <w:rPr>
          <w:rFonts w:ascii="Century Gothic" w:hAnsi="Century Gothic"/>
          <w:b w:val="0"/>
          <w:i w:val="0"/>
          <w:color w:val="FF0000"/>
        </w:rPr>
        <w:t>Evidence and Defenses</w:t>
      </w:r>
    </w:p>
    <w:p w14:paraId="11B19ED9" w14:textId="77777777" w:rsidR="00F06D8F" w:rsidRPr="00F06D8F" w:rsidRDefault="00F06D8F" w:rsidP="00F06D8F">
      <w:pPr>
        <w:pStyle w:val="Heading3"/>
        <w:numPr>
          <w:ilvl w:val="0"/>
          <w:numId w:val="38"/>
        </w:numPr>
        <w:ind w:left="360"/>
        <w:jc w:val="both"/>
        <w:rPr>
          <w:rFonts w:ascii="Century Gothic" w:hAnsi="Century Gothic"/>
          <w:b w:val="0"/>
          <w:color w:val="auto"/>
        </w:rPr>
      </w:pPr>
      <w:r w:rsidRPr="00F06D8F">
        <w:rPr>
          <w:rFonts w:ascii="Century Gothic" w:hAnsi="Century Gothic"/>
          <w:b w:val="0"/>
          <w:color w:val="auto"/>
        </w:rPr>
        <w:t>Evidence</w:t>
      </w:r>
    </w:p>
    <w:p w14:paraId="662792D7" w14:textId="77777777" w:rsidR="00F06D8F" w:rsidRDefault="00F06D8F" w:rsidP="00F06D8F">
      <w:pPr>
        <w:jc w:val="both"/>
        <w:rPr>
          <w:rFonts w:ascii="Helvetica Light" w:hAnsi="Helvetica Light" w:cs="Arial"/>
          <w:bCs/>
          <w:sz w:val="22"/>
          <w:szCs w:val="22"/>
        </w:rPr>
      </w:pPr>
      <w:r w:rsidRPr="002E07F4">
        <w:rPr>
          <w:rFonts w:ascii="Helvetica Light" w:hAnsi="Helvetica Light" w:cs="Arial"/>
          <w:bCs/>
          <w:sz w:val="22"/>
          <w:szCs w:val="22"/>
        </w:rPr>
        <w:t xml:space="preserve">Panelists will review the Registry’s Sunrise Criteria, allocation requirements, or </w:t>
      </w:r>
      <w:r w:rsidRPr="002E07F4">
        <w:rPr>
          <w:rFonts w:ascii="Helvetica Light" w:hAnsi="Helvetica Light" w:cs="Arial"/>
          <w:sz w:val="22"/>
          <w:szCs w:val="22"/>
        </w:rPr>
        <w:t>community-based eligibility requirements</w:t>
      </w:r>
      <w:r w:rsidRPr="002E07F4">
        <w:rPr>
          <w:rFonts w:ascii="Helvetica Light" w:hAnsi="Helvetica Light" w:cs="Arial"/>
          <w:bCs/>
          <w:sz w:val="22"/>
          <w:szCs w:val="22"/>
        </w:rPr>
        <w:t xml:space="preserve"> which are required to be submitted with the Complaint, as applicable, in making its decision.</w:t>
      </w:r>
    </w:p>
    <w:p w14:paraId="46BA5589" w14:textId="77777777" w:rsidR="007F722A" w:rsidRPr="002E07F4" w:rsidRDefault="007F722A" w:rsidP="00F06D8F">
      <w:pPr>
        <w:jc w:val="both"/>
        <w:rPr>
          <w:rFonts w:ascii="Helvetica Light" w:hAnsi="Helvetica Light" w:cs="Arial"/>
          <w:bCs/>
          <w:sz w:val="22"/>
          <w:szCs w:val="22"/>
        </w:rPr>
      </w:pPr>
    </w:p>
    <w:p w14:paraId="17394229" w14:textId="77777777" w:rsidR="00F06D8F" w:rsidRPr="00F06D8F" w:rsidRDefault="00F06D8F" w:rsidP="00F06D8F">
      <w:pPr>
        <w:pStyle w:val="Heading3"/>
        <w:numPr>
          <w:ilvl w:val="0"/>
          <w:numId w:val="38"/>
        </w:numPr>
        <w:ind w:left="360"/>
        <w:jc w:val="both"/>
        <w:rPr>
          <w:rFonts w:ascii="Century Gothic" w:hAnsi="Century Gothic"/>
          <w:b w:val="0"/>
          <w:color w:val="auto"/>
        </w:rPr>
      </w:pPr>
      <w:r w:rsidRPr="00F06D8F">
        <w:rPr>
          <w:rFonts w:ascii="Century Gothic" w:hAnsi="Century Gothic"/>
          <w:b w:val="0"/>
          <w:color w:val="auto"/>
        </w:rPr>
        <w:t>Defenses</w:t>
      </w:r>
    </w:p>
    <w:p w14:paraId="0AABE2A2" w14:textId="77777777" w:rsidR="00F06D8F" w:rsidRDefault="00F06D8F" w:rsidP="00F06D8F">
      <w:pPr>
        <w:jc w:val="both"/>
        <w:rPr>
          <w:rFonts w:ascii="Helvetica Light" w:hAnsi="Helvetica Light" w:cs="Arial"/>
          <w:bCs/>
          <w:sz w:val="22"/>
          <w:szCs w:val="22"/>
        </w:rPr>
      </w:pPr>
      <w:r w:rsidRPr="002E07F4">
        <w:rPr>
          <w:rFonts w:ascii="Helvetica Light" w:hAnsi="Helvetica Light" w:cs="Arial"/>
          <w:bCs/>
          <w:sz w:val="22"/>
          <w:szCs w:val="22"/>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14:paraId="7570351E" w14:textId="77777777" w:rsidR="007F722A" w:rsidRPr="002E07F4" w:rsidRDefault="007F722A" w:rsidP="00F06D8F">
      <w:pPr>
        <w:jc w:val="both"/>
        <w:rPr>
          <w:rFonts w:ascii="Helvetica Light" w:hAnsi="Helvetica Light" w:cs="Arial"/>
          <w:bCs/>
          <w:sz w:val="22"/>
          <w:szCs w:val="22"/>
        </w:rPr>
      </w:pPr>
      <w:bookmarkStart w:id="2" w:name="_GoBack"/>
      <w:bookmarkEnd w:id="2"/>
    </w:p>
    <w:p w14:paraId="7F221C1E" w14:textId="0CAF4B94" w:rsidR="00F06D8F" w:rsidRPr="00F06D8F" w:rsidRDefault="00F06D8F" w:rsidP="00F06D8F">
      <w:pPr>
        <w:pStyle w:val="Heading2"/>
        <w:keepNext w:val="0"/>
        <w:tabs>
          <w:tab w:val="left" w:pos="360"/>
        </w:tabs>
        <w:contextualSpacing/>
        <w:jc w:val="both"/>
        <w:rPr>
          <w:rFonts w:ascii="Century Gothic" w:hAnsi="Century Gothic"/>
          <w:b w:val="0"/>
          <w:i w:val="0"/>
          <w:color w:val="FF0000"/>
        </w:rPr>
      </w:pPr>
      <w:r>
        <w:rPr>
          <w:rFonts w:ascii="Century Gothic" w:hAnsi="Century Gothic"/>
          <w:b w:val="0"/>
          <w:i w:val="0"/>
          <w:color w:val="FF0000"/>
        </w:rPr>
        <w:t>4.</w:t>
      </w:r>
      <w:r>
        <w:rPr>
          <w:rFonts w:ascii="Century Gothic" w:hAnsi="Century Gothic"/>
          <w:b w:val="0"/>
          <w:i w:val="0"/>
          <w:color w:val="FF0000"/>
        </w:rPr>
        <w:tab/>
      </w:r>
      <w:r w:rsidRPr="00F06D8F">
        <w:rPr>
          <w:rFonts w:ascii="Century Gothic" w:hAnsi="Century Gothic"/>
          <w:b w:val="0"/>
          <w:i w:val="0"/>
          <w:color w:val="FF0000"/>
        </w:rPr>
        <w:t>Remedies</w:t>
      </w:r>
    </w:p>
    <w:p w14:paraId="5A9D9EBC" w14:textId="77777777" w:rsidR="00F06D8F" w:rsidRPr="002E07F4" w:rsidRDefault="00F06D8F" w:rsidP="00F06D8F">
      <w:pPr>
        <w:jc w:val="both"/>
        <w:rPr>
          <w:rFonts w:ascii="Helvetica Light" w:hAnsi="Helvetica Light" w:cs="Arial"/>
          <w:sz w:val="22"/>
          <w:szCs w:val="22"/>
        </w:rPr>
      </w:pPr>
      <w:r w:rsidRPr="002E07F4">
        <w:rPr>
          <w:rFonts w:ascii="Helvetica Light" w:hAnsi="Helvetica Light" w:cs="Arial"/>
          <w:sz w:val="22"/>
          <w:szCs w:val="22"/>
        </w:rPr>
        <w:t>The remedies available to a complainant for a proceeding under this SDRP shall be limited to:</w:t>
      </w:r>
    </w:p>
    <w:p w14:paraId="6BDF8B9A" w14:textId="77777777" w:rsidR="00F06D8F" w:rsidRDefault="00F06D8F" w:rsidP="00F06D8F">
      <w:pPr>
        <w:pStyle w:val="Heading3"/>
        <w:numPr>
          <w:ilvl w:val="0"/>
          <w:numId w:val="40"/>
        </w:numPr>
        <w:ind w:left="360"/>
        <w:jc w:val="both"/>
        <w:rPr>
          <w:rFonts w:ascii="Century Gothic" w:hAnsi="Century Gothic"/>
          <w:b w:val="0"/>
          <w:color w:val="auto"/>
        </w:rPr>
      </w:pPr>
      <w:r w:rsidRPr="00F06D8F">
        <w:rPr>
          <w:rFonts w:ascii="Century Gothic" w:hAnsi="Century Gothic"/>
          <w:b w:val="0"/>
          <w:color w:val="auto"/>
        </w:rPr>
        <w:t>Improper Sunrise Registration</w:t>
      </w:r>
    </w:p>
    <w:p w14:paraId="79FB9611"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If the Panelist finds that the domain name was improperly registered during the Sunrise period, the sole remedy for a Complaint filed under SDRP 2(a) or SDRP 2(b) shall be cancellation of the registration and return of the cancelled domain name to the pool of available names available for registration in the TLD. If the Complainant independently qualifies to register the domain name, either as a regular or defensive/blocking registrant, such application may be made to the Registry, or registrar, as applicable.</w:t>
      </w:r>
    </w:p>
    <w:p w14:paraId="7731B2D3" w14:textId="77777777" w:rsidR="00715977" w:rsidRPr="002E07F4" w:rsidRDefault="00715977" w:rsidP="00F06D8F">
      <w:pPr>
        <w:jc w:val="both"/>
        <w:rPr>
          <w:rFonts w:ascii="Helvetica Light" w:hAnsi="Helvetica Light" w:cs="Arial"/>
          <w:sz w:val="22"/>
          <w:szCs w:val="22"/>
        </w:rPr>
      </w:pPr>
    </w:p>
    <w:p w14:paraId="43B90595" w14:textId="3BF31321" w:rsidR="00F06D8F" w:rsidRPr="002E07F4" w:rsidRDefault="00F06D8F" w:rsidP="00F06D8F">
      <w:pPr>
        <w:jc w:val="both"/>
        <w:rPr>
          <w:rFonts w:ascii="Helvetica Light" w:hAnsi="Helvetica Light" w:cs="Arial"/>
          <w:sz w:val="22"/>
          <w:szCs w:val="22"/>
        </w:rPr>
      </w:pPr>
      <w:r w:rsidRPr="002E07F4">
        <w:rPr>
          <w:rFonts w:ascii="Helvetica Light" w:hAnsi="Helvetica Light" w:cs="Arial"/>
          <w:sz w:val="22"/>
          <w:szCs w:val="22"/>
        </w:rPr>
        <w:t>In the event an SDRP dispute is brought by an auction bidder for the same domain name, the auction will be suspended until the dispute is resolved.</w:t>
      </w:r>
    </w:p>
    <w:p w14:paraId="6E0B9468" w14:textId="77777777" w:rsidR="00F06D8F" w:rsidRPr="002E07F4" w:rsidRDefault="00F06D8F" w:rsidP="00F06D8F">
      <w:pPr>
        <w:jc w:val="both"/>
        <w:rPr>
          <w:rFonts w:ascii="Helvetica Light" w:hAnsi="Helvetica Light" w:cs="Arial"/>
          <w:sz w:val="22"/>
          <w:szCs w:val="22"/>
        </w:rPr>
      </w:pPr>
    </w:p>
    <w:p w14:paraId="4D49477A" w14:textId="77777777" w:rsidR="00F06D8F" w:rsidRDefault="00F06D8F" w:rsidP="00F06D8F">
      <w:pPr>
        <w:pStyle w:val="Heading2"/>
        <w:keepNext w:val="0"/>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5</w:t>
      </w:r>
      <w:r>
        <w:rPr>
          <w:rFonts w:ascii="Century Gothic" w:hAnsi="Century Gothic"/>
          <w:b w:val="0"/>
          <w:i w:val="0"/>
          <w:color w:val="FF0000"/>
        </w:rPr>
        <w:t>.</w:t>
      </w:r>
      <w:r>
        <w:rPr>
          <w:rFonts w:ascii="Century Gothic" w:hAnsi="Century Gothic"/>
          <w:b w:val="0"/>
          <w:i w:val="0"/>
          <w:color w:val="FF0000"/>
        </w:rPr>
        <w:tab/>
      </w:r>
      <w:r w:rsidRPr="00F06D8F">
        <w:rPr>
          <w:rFonts w:ascii="Century Gothic" w:hAnsi="Century Gothic"/>
          <w:b w:val="0"/>
          <w:i w:val="0"/>
          <w:color w:val="FF0000"/>
        </w:rPr>
        <w:t>Procedure</w:t>
      </w:r>
    </w:p>
    <w:p w14:paraId="0F47EA2A" w14:textId="6FE76D8E" w:rsidR="00F06D8F" w:rsidRDefault="00715977" w:rsidP="00F06D8F">
      <w:pPr>
        <w:pStyle w:val="Heading3"/>
        <w:numPr>
          <w:ilvl w:val="0"/>
          <w:numId w:val="42"/>
        </w:numPr>
        <w:ind w:left="360"/>
        <w:jc w:val="both"/>
        <w:rPr>
          <w:rFonts w:ascii="Century Gothic" w:hAnsi="Century Gothic"/>
          <w:b w:val="0"/>
          <w:color w:val="auto"/>
        </w:rPr>
      </w:pPr>
      <w:r>
        <w:rPr>
          <w:rFonts w:ascii="Century Gothic" w:hAnsi="Century Gothic"/>
          <w:b w:val="0"/>
          <w:color w:val="auto"/>
        </w:rPr>
        <w:t>Dispute Resolution Provider/</w:t>
      </w:r>
      <w:r w:rsidR="00F06D8F" w:rsidRPr="00F06D8F">
        <w:rPr>
          <w:rFonts w:ascii="Century Gothic" w:hAnsi="Century Gothic"/>
          <w:b w:val="0"/>
          <w:color w:val="auto"/>
        </w:rPr>
        <w:t>Selection of Procedure</w:t>
      </w:r>
    </w:p>
    <w:p w14:paraId="54EF14BD"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A Complaint under this SDRP shall be submitted to the National Arbitration Forum (“Forum”) by submitting the complaint directly to the Forum. The Forum will administer the proceeding and select a qualified and eligible Panelist (“Panelist”). The Forum has established Rules for National Arbitration Forum’s Sunrise Dispute Resolution Policy (“Rules”), setting forth a fee schedule and other technical and process requirements for handling a dispute under this SDRP. The proceedings under this SDRP will be conducted according to this SDRP and the applicable Rules of the Forum.</w:t>
      </w:r>
    </w:p>
    <w:p w14:paraId="72FB7B70" w14:textId="77777777" w:rsidR="00F06D8F" w:rsidRPr="002E07F4" w:rsidRDefault="00F06D8F" w:rsidP="00F06D8F">
      <w:pPr>
        <w:jc w:val="both"/>
        <w:rPr>
          <w:rFonts w:ascii="Helvetica Light" w:hAnsi="Helvetica Light" w:cs="Arial"/>
          <w:sz w:val="22"/>
          <w:szCs w:val="22"/>
        </w:rPr>
      </w:pPr>
    </w:p>
    <w:p w14:paraId="34BB5D4B" w14:textId="77777777" w:rsidR="00F06D8F" w:rsidRDefault="00F06D8F" w:rsidP="00F06D8F">
      <w:pPr>
        <w:pStyle w:val="Heading3"/>
        <w:numPr>
          <w:ilvl w:val="0"/>
          <w:numId w:val="42"/>
        </w:numPr>
        <w:ind w:left="360"/>
        <w:jc w:val="both"/>
        <w:rPr>
          <w:rFonts w:ascii="Century Gothic" w:hAnsi="Century Gothic"/>
          <w:b w:val="0"/>
          <w:color w:val="auto"/>
        </w:rPr>
      </w:pPr>
      <w:r w:rsidRPr="00F06D8F">
        <w:rPr>
          <w:rFonts w:ascii="Century Gothic" w:hAnsi="Century Gothic"/>
          <w:b w:val="0"/>
          <w:color w:val="auto"/>
        </w:rPr>
        <w:t>Registry’s or Registrar’s Involvement</w:t>
      </w:r>
    </w:p>
    <w:p w14:paraId="12F6C56A"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TLD involved in a SDRP proceeding will be locked against transfer to another domain name holder or another registrar during the course of a proceeding.</w:t>
      </w:r>
      <w:r w:rsidRPr="002E07F4">
        <w:rPr>
          <w:rStyle w:val="FootnoteReference"/>
          <w:rFonts w:ascii="Helvetica Light" w:hAnsi="Helvetica Light" w:cs="Arial"/>
          <w:sz w:val="22"/>
          <w:szCs w:val="22"/>
        </w:rPr>
        <w:footnoteReference w:id="10"/>
      </w:r>
      <w:r w:rsidRPr="002E07F4">
        <w:rPr>
          <w:rFonts w:ascii="Helvetica Light" w:hAnsi="Helvetica Light" w:cs="Arial"/>
          <w:sz w:val="22"/>
          <w:szCs w:val="22"/>
        </w:rPr>
        <w:t xml:space="preserve"> In the case of a claim under SDRP 2(c), the Registry will prevent other parties from registering the unregistered domain name at issue until a decision is reached.</w:t>
      </w:r>
      <w:r>
        <w:rPr>
          <w:rFonts w:ascii="Helvetica Light" w:hAnsi="Helvetica Light" w:cs="Arial"/>
          <w:sz w:val="22"/>
          <w:szCs w:val="22"/>
        </w:rPr>
        <w:t xml:space="preserve"> </w:t>
      </w:r>
      <w:r w:rsidRPr="002E07F4">
        <w:rPr>
          <w:rFonts w:ascii="Helvetica Light" w:hAnsi="Helvetica Light" w:cs="Arial"/>
          <w:sz w:val="22"/>
          <w:szCs w:val="22"/>
        </w:rPr>
        <w:t>The contact details of the holder of a registered domain name in the TLD, against which a complaint has been filed, will be as shown in the registrar’s publicly available Whois database record for the relevant registrant. The Registry and the applicable registrar will comply with any Panelist decision and make all appropriate changes to the status of the domain name registration(s) in their Whois databases.</w:t>
      </w:r>
    </w:p>
    <w:p w14:paraId="20002BB5" w14:textId="77777777" w:rsidR="00F06D8F" w:rsidRPr="002E07F4" w:rsidRDefault="00F06D8F" w:rsidP="00F06D8F">
      <w:pPr>
        <w:jc w:val="both"/>
        <w:rPr>
          <w:rFonts w:ascii="Helvetica Light" w:hAnsi="Helvetica Light" w:cs="Arial"/>
          <w:sz w:val="22"/>
          <w:szCs w:val="22"/>
        </w:rPr>
      </w:pPr>
    </w:p>
    <w:p w14:paraId="41997B12" w14:textId="77777777" w:rsidR="00F06D8F" w:rsidRDefault="00F06D8F" w:rsidP="00F06D8F">
      <w:pPr>
        <w:pStyle w:val="Heading3"/>
        <w:numPr>
          <w:ilvl w:val="0"/>
          <w:numId w:val="42"/>
        </w:numPr>
        <w:ind w:left="360"/>
        <w:jc w:val="both"/>
        <w:rPr>
          <w:rFonts w:ascii="Century Gothic" w:hAnsi="Century Gothic"/>
          <w:b w:val="0"/>
          <w:color w:val="auto"/>
        </w:rPr>
      </w:pPr>
      <w:r w:rsidRPr="00F06D8F">
        <w:rPr>
          <w:rFonts w:ascii="Century Gothic" w:hAnsi="Century Gothic"/>
          <w:b w:val="0"/>
          <w:color w:val="auto"/>
        </w:rPr>
        <w:t>Parties</w:t>
      </w:r>
    </w:p>
    <w:p w14:paraId="381343D9"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The registrant of a registered domain name in the TLD shall be promptly notified by the Forum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Forum shall promptly notify all named parties in the dispute, as well as the registrar and the Registry of any decision made by a Panelist.</w:t>
      </w:r>
    </w:p>
    <w:p w14:paraId="561E9B4C" w14:textId="77777777" w:rsidR="00F06D8F" w:rsidRPr="002E07F4" w:rsidRDefault="00F06D8F" w:rsidP="00F06D8F">
      <w:pPr>
        <w:jc w:val="both"/>
        <w:rPr>
          <w:rFonts w:ascii="Helvetica Light" w:hAnsi="Helvetica Light" w:cs="Arial"/>
          <w:sz w:val="22"/>
          <w:szCs w:val="22"/>
        </w:rPr>
      </w:pPr>
    </w:p>
    <w:p w14:paraId="6F3886AD" w14:textId="77777777" w:rsidR="00F06D8F" w:rsidRDefault="00F06D8F" w:rsidP="00F06D8F">
      <w:pPr>
        <w:pStyle w:val="Heading3"/>
        <w:numPr>
          <w:ilvl w:val="0"/>
          <w:numId w:val="42"/>
        </w:numPr>
        <w:ind w:left="360"/>
        <w:jc w:val="both"/>
        <w:rPr>
          <w:rFonts w:ascii="Century Gothic" w:hAnsi="Century Gothic"/>
          <w:b w:val="0"/>
          <w:color w:val="auto"/>
        </w:rPr>
      </w:pPr>
      <w:r w:rsidRPr="00F06D8F">
        <w:rPr>
          <w:rFonts w:ascii="Century Gothic" w:hAnsi="Century Gothic"/>
          <w:b w:val="0"/>
          <w:color w:val="auto"/>
        </w:rPr>
        <w:t>Decisions</w:t>
      </w:r>
    </w:p>
    <w:p w14:paraId="66939368" w14:textId="77777777" w:rsidR="00F06D8F" w:rsidRDefault="00F06D8F" w:rsidP="00F06D8F">
      <w:pPr>
        <w:pStyle w:val="ListParagraph"/>
        <w:numPr>
          <w:ilvl w:val="0"/>
          <w:numId w:val="46"/>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Panelist may state the basis on which the decision is issued in summary format and may include such commentary or guidance as the Panelist deems appropriate;</w:t>
      </w:r>
    </w:p>
    <w:p w14:paraId="468AE0A9"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58D9921A" w14:textId="77777777" w:rsidR="00F06D8F" w:rsidRDefault="00F06D8F" w:rsidP="00F06D8F">
      <w:pPr>
        <w:pStyle w:val="ListParagraph"/>
        <w:numPr>
          <w:ilvl w:val="0"/>
          <w:numId w:val="46"/>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the decision shall state whether a registered domain name in the TLD is to be cancelled or the status quo maintained; and</w:t>
      </w:r>
    </w:p>
    <w:p w14:paraId="2DC6E010" w14:textId="77777777" w:rsidR="00F06D8F" w:rsidRDefault="00F06D8F" w:rsidP="00F06D8F">
      <w:pPr>
        <w:pStyle w:val="ListParagraph"/>
        <w:spacing w:after="200" w:line="276" w:lineRule="auto"/>
        <w:ind w:left="540"/>
        <w:contextualSpacing/>
        <w:jc w:val="both"/>
        <w:rPr>
          <w:rFonts w:ascii="Helvetica Light" w:hAnsi="Helvetica Light" w:cs="Arial"/>
          <w:sz w:val="22"/>
          <w:szCs w:val="22"/>
        </w:rPr>
      </w:pPr>
    </w:p>
    <w:p w14:paraId="418E9FE0" w14:textId="77777777" w:rsidR="00F06D8F" w:rsidRDefault="00F06D8F" w:rsidP="00F06D8F">
      <w:pPr>
        <w:pStyle w:val="ListParagraph"/>
        <w:numPr>
          <w:ilvl w:val="0"/>
          <w:numId w:val="46"/>
        </w:numPr>
        <w:spacing w:after="200" w:line="276" w:lineRule="auto"/>
        <w:ind w:left="540" w:hanging="180"/>
        <w:contextualSpacing/>
        <w:jc w:val="both"/>
        <w:rPr>
          <w:rFonts w:ascii="Helvetica Light" w:hAnsi="Helvetica Light" w:cs="Arial"/>
          <w:sz w:val="22"/>
          <w:szCs w:val="22"/>
        </w:rPr>
      </w:pPr>
      <w:r w:rsidRPr="002E07F4">
        <w:rPr>
          <w:rFonts w:ascii="Helvetica Light" w:hAnsi="Helvetica Light" w:cs="Arial"/>
          <w:sz w:val="22"/>
          <w:szCs w:val="22"/>
        </w:rPr>
        <w:t>decisions made under this SDRP will be publicly published by the Forum on its website.</w:t>
      </w:r>
    </w:p>
    <w:p w14:paraId="17983AF4" w14:textId="77777777" w:rsidR="00F06D8F" w:rsidRPr="002E07F4" w:rsidRDefault="00F06D8F" w:rsidP="00F06D8F">
      <w:pPr>
        <w:pStyle w:val="ListParagraph"/>
        <w:spacing w:after="200" w:line="276" w:lineRule="auto"/>
        <w:ind w:left="540"/>
        <w:contextualSpacing/>
        <w:jc w:val="both"/>
        <w:rPr>
          <w:rFonts w:ascii="Helvetica Light" w:hAnsi="Helvetica Light" w:cs="Arial"/>
          <w:sz w:val="22"/>
          <w:szCs w:val="22"/>
        </w:rPr>
      </w:pPr>
    </w:p>
    <w:p w14:paraId="461A6FAB" w14:textId="77777777" w:rsidR="00F06D8F" w:rsidRPr="00F06D8F" w:rsidRDefault="00F06D8F" w:rsidP="00F06D8F">
      <w:pPr>
        <w:pStyle w:val="Heading3"/>
        <w:numPr>
          <w:ilvl w:val="0"/>
          <w:numId w:val="42"/>
        </w:numPr>
        <w:ind w:left="360"/>
        <w:jc w:val="both"/>
        <w:rPr>
          <w:rFonts w:ascii="Century Gothic" w:hAnsi="Century Gothic"/>
          <w:b w:val="0"/>
          <w:color w:val="auto"/>
        </w:rPr>
      </w:pPr>
      <w:r w:rsidRPr="00F06D8F">
        <w:rPr>
          <w:rFonts w:ascii="Century Gothic" w:hAnsi="Century Gothic"/>
          <w:b w:val="0"/>
          <w:color w:val="auto"/>
        </w:rPr>
        <w:t>Implementation of a Lock and the Decision</w:t>
      </w:r>
    </w:p>
    <w:p w14:paraId="7F3AC277"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If a Panelist’s decision requires a change to the status of a registered domain name, the Registry</w:t>
      </w:r>
      <w:r w:rsidRPr="002E07F4">
        <w:rPr>
          <w:rStyle w:val="FootnoteReference"/>
          <w:rFonts w:ascii="Helvetica Light" w:hAnsi="Helvetica Light" w:cs="Arial"/>
          <w:sz w:val="22"/>
          <w:szCs w:val="22"/>
        </w:rPr>
        <w:footnoteReference w:id="11"/>
      </w:r>
      <w:r w:rsidRPr="002E07F4">
        <w:rPr>
          <w:rFonts w:ascii="Helvetica Light" w:hAnsi="Helvetica Light" w:cs="Arial"/>
          <w:sz w:val="22"/>
          <w:szCs w:val="22"/>
        </w:rPr>
        <w:t xml:space="preserve"> will wait ten (10) business days after communication of the decision before implementing that decision, unless the registrant submits to the Registry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(i)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w:t>
      </w:r>
    </w:p>
    <w:p w14:paraId="0C435D26" w14:textId="77777777" w:rsidR="00F06D8F" w:rsidRPr="002E07F4" w:rsidRDefault="00F06D8F" w:rsidP="00F06D8F">
      <w:pPr>
        <w:jc w:val="both"/>
        <w:rPr>
          <w:rFonts w:ascii="Helvetica Light" w:hAnsi="Helvetica Light" w:cs="Arial"/>
          <w:sz w:val="22"/>
          <w:szCs w:val="22"/>
        </w:rPr>
      </w:pPr>
    </w:p>
    <w:p w14:paraId="0F592F7C" w14:textId="77777777" w:rsidR="00F06D8F" w:rsidRPr="00F06D8F" w:rsidRDefault="00F06D8F" w:rsidP="00F06D8F">
      <w:pPr>
        <w:pStyle w:val="Heading3"/>
        <w:numPr>
          <w:ilvl w:val="0"/>
          <w:numId w:val="42"/>
        </w:numPr>
        <w:ind w:left="360"/>
        <w:jc w:val="both"/>
        <w:rPr>
          <w:rFonts w:ascii="Century Gothic" w:hAnsi="Century Gothic"/>
          <w:b w:val="0"/>
          <w:color w:val="auto"/>
        </w:rPr>
      </w:pPr>
      <w:r w:rsidRPr="00F06D8F">
        <w:rPr>
          <w:rFonts w:ascii="Century Gothic" w:hAnsi="Century Gothic"/>
          <w:b w:val="0"/>
          <w:color w:val="auto"/>
        </w:rPr>
        <w:t>Representations and Warranties</w:t>
      </w:r>
    </w:p>
    <w:p w14:paraId="6B7F4FC2"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Parties to a dispute under this SDRP shall warrant that all factual allegations made in the course thereof are true and correct to the best of their knowledge, shall remain subject to all representations and warranties made in the course of registration of a disputed domain name.</w:t>
      </w:r>
    </w:p>
    <w:p w14:paraId="0E23A9A9" w14:textId="77777777" w:rsidR="00F06D8F" w:rsidRPr="002E07F4" w:rsidRDefault="00F06D8F" w:rsidP="00F06D8F">
      <w:pPr>
        <w:jc w:val="both"/>
        <w:rPr>
          <w:rFonts w:ascii="Helvetica Light" w:hAnsi="Helvetica Light" w:cs="Arial"/>
          <w:sz w:val="22"/>
          <w:szCs w:val="22"/>
        </w:rPr>
      </w:pPr>
    </w:p>
    <w:p w14:paraId="09306654" w14:textId="77777777" w:rsidR="00F06D8F" w:rsidRDefault="00F06D8F" w:rsidP="00715977">
      <w:pPr>
        <w:pStyle w:val="Heading2"/>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6</w:t>
      </w:r>
      <w:r>
        <w:rPr>
          <w:rFonts w:ascii="Century Gothic" w:hAnsi="Century Gothic"/>
          <w:b w:val="0"/>
          <w:i w:val="0"/>
          <w:color w:val="FF0000"/>
        </w:rPr>
        <w:t>.</w:t>
      </w:r>
      <w:r>
        <w:rPr>
          <w:rFonts w:ascii="Century Gothic" w:hAnsi="Century Gothic"/>
          <w:b w:val="0"/>
          <w:i w:val="0"/>
          <w:color w:val="FF0000"/>
        </w:rPr>
        <w:tab/>
      </w:r>
      <w:r w:rsidRPr="00F06D8F">
        <w:rPr>
          <w:rFonts w:ascii="Century Gothic" w:hAnsi="Century Gothic"/>
          <w:b w:val="0"/>
          <w:i w:val="0"/>
          <w:color w:val="FF0000"/>
        </w:rPr>
        <w:t>Maintaining the Status Quo</w:t>
      </w:r>
    </w:p>
    <w:p w14:paraId="20D26542"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During a proceeding under the SDRP, the registered domain name shall be locked against transfers between registrants and/or registrars and against deletion by registrants</w:t>
      </w:r>
      <w:r>
        <w:rPr>
          <w:rFonts w:ascii="Helvetica Light" w:hAnsi="Helvetica Light" w:cs="Arial"/>
          <w:sz w:val="22"/>
          <w:szCs w:val="22"/>
        </w:rPr>
        <w:t>.</w:t>
      </w:r>
    </w:p>
    <w:p w14:paraId="4283460E" w14:textId="77777777" w:rsidR="00F06D8F" w:rsidRPr="002E07F4" w:rsidRDefault="00F06D8F" w:rsidP="00F06D8F">
      <w:pPr>
        <w:jc w:val="both"/>
        <w:rPr>
          <w:rFonts w:ascii="Helvetica Light" w:hAnsi="Helvetica Light" w:cs="Arial"/>
          <w:sz w:val="22"/>
          <w:szCs w:val="22"/>
        </w:rPr>
      </w:pPr>
    </w:p>
    <w:p w14:paraId="41235FF3" w14:textId="20B69E4E" w:rsidR="00F06D8F" w:rsidRPr="00F06D8F" w:rsidRDefault="00F06D8F" w:rsidP="00F06D8F">
      <w:pPr>
        <w:pStyle w:val="Heading2"/>
        <w:keepNext w:val="0"/>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7</w:t>
      </w:r>
      <w:r w:rsidR="00715977">
        <w:rPr>
          <w:rFonts w:ascii="Century Gothic" w:hAnsi="Century Gothic"/>
          <w:b w:val="0"/>
          <w:i w:val="0"/>
          <w:color w:val="FF0000"/>
        </w:rPr>
        <w:t>. Indemnification/</w:t>
      </w:r>
      <w:r w:rsidRPr="00F06D8F">
        <w:rPr>
          <w:rFonts w:ascii="Century Gothic" w:hAnsi="Century Gothic"/>
          <w:b w:val="0"/>
          <w:i w:val="0"/>
          <w:color w:val="FF0000"/>
        </w:rPr>
        <w:t>Hold Harmless</w:t>
      </w:r>
    </w:p>
    <w:p w14:paraId="0524D774"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The parties shall hold the registrar, the Registry, the Forum, and the Panelist harmless from any claim arising from operation of the SDRP. Neither party may name the registrar, the Registry, the Forum, or the Panelist as a party or otherwise include the registrar, the Registry, the Forum, or the Panelist in any judicial proceeding relating to the dispute or the administration of the SDRP policy. The parties shall indemnify, defend and hold harmless the registrar, the Registry, the Forum, the Panelist and their respective employees, contractors, agents and service providers from any claim arising from the conduct or result of a proceeding under this SDRP. Neither the registrar, the Registry, Forum,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w:t>
      </w:r>
    </w:p>
    <w:p w14:paraId="716A3F60" w14:textId="77777777" w:rsidR="00F06D8F" w:rsidRPr="002E07F4" w:rsidRDefault="00F06D8F" w:rsidP="00F06D8F">
      <w:pPr>
        <w:jc w:val="both"/>
        <w:rPr>
          <w:rFonts w:ascii="Helvetica Light" w:hAnsi="Helvetica Light" w:cs="Arial"/>
          <w:sz w:val="22"/>
          <w:szCs w:val="22"/>
        </w:rPr>
      </w:pPr>
    </w:p>
    <w:p w14:paraId="140E3599" w14:textId="77777777" w:rsidR="00F06D8F" w:rsidRPr="00F06D8F" w:rsidRDefault="00F06D8F" w:rsidP="00F06D8F">
      <w:pPr>
        <w:pStyle w:val="Heading2"/>
        <w:keepNext w:val="0"/>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8. Relation To Other Dispute Resolution Policies</w:t>
      </w:r>
    </w:p>
    <w:p w14:paraId="002ADB78"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This SDRP is in addition to and complementary with the Uniform Domain Name Dispute Resolution Policy (“UDRP”), the Uniform Rapid Suspension System (“URS”) and any charter, nexus, or eligibility dispute policies ad</w:t>
      </w:r>
      <w:r>
        <w:rPr>
          <w:rFonts w:ascii="Helvetica Light" w:hAnsi="Helvetica Light" w:cs="Arial"/>
          <w:sz w:val="22"/>
          <w:szCs w:val="22"/>
        </w:rPr>
        <w:t>opted by ICANN or the Registry.</w:t>
      </w:r>
    </w:p>
    <w:p w14:paraId="07323681" w14:textId="77777777" w:rsidR="00F06D8F" w:rsidRPr="002E07F4" w:rsidRDefault="00F06D8F" w:rsidP="00F06D8F">
      <w:pPr>
        <w:jc w:val="both"/>
        <w:rPr>
          <w:rFonts w:ascii="Helvetica Light" w:hAnsi="Helvetica Light" w:cs="Arial"/>
          <w:sz w:val="22"/>
          <w:szCs w:val="22"/>
        </w:rPr>
      </w:pPr>
    </w:p>
    <w:p w14:paraId="2C61B747" w14:textId="77777777" w:rsidR="00F06D8F" w:rsidRPr="00F06D8F" w:rsidRDefault="00F06D8F" w:rsidP="00F06D8F">
      <w:pPr>
        <w:pStyle w:val="Heading2"/>
        <w:keepNext w:val="0"/>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9. Effect of Other Proceedings</w:t>
      </w:r>
    </w:p>
    <w:p w14:paraId="3BC0DA6D" w14:textId="77777777" w:rsidR="00F06D8F" w:rsidRDefault="00F06D8F" w:rsidP="00F06D8F">
      <w:pPr>
        <w:jc w:val="both"/>
        <w:rPr>
          <w:rFonts w:ascii="Helvetica Light" w:hAnsi="Helvetica Light" w:cs="Arial"/>
          <w:sz w:val="22"/>
          <w:szCs w:val="22"/>
        </w:rPr>
      </w:pPr>
      <w:r w:rsidRPr="002E07F4">
        <w:rPr>
          <w:rFonts w:ascii="Helvetica Light" w:hAnsi="Helvetica Light" w:cs="Arial"/>
          <w:sz w:val="22"/>
          <w:szCs w:val="22"/>
        </w:rPr>
        <w:t>The administrative proceeding under the SDRP shall not prevent either party from submitting a dispute concerning the registered domain name in the 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w:t>
      </w:r>
    </w:p>
    <w:p w14:paraId="708868AA" w14:textId="77777777" w:rsidR="00F06D8F" w:rsidRPr="002E07F4" w:rsidRDefault="00F06D8F" w:rsidP="00F06D8F">
      <w:pPr>
        <w:jc w:val="both"/>
        <w:rPr>
          <w:rFonts w:ascii="Helvetica Light" w:hAnsi="Helvetica Light" w:cs="Arial"/>
          <w:sz w:val="22"/>
          <w:szCs w:val="22"/>
        </w:rPr>
      </w:pPr>
    </w:p>
    <w:p w14:paraId="3C243AD8" w14:textId="77777777" w:rsidR="00F06D8F" w:rsidRPr="00F06D8F" w:rsidRDefault="00F06D8F" w:rsidP="00F06D8F">
      <w:pPr>
        <w:pStyle w:val="Heading2"/>
        <w:keepNext w:val="0"/>
        <w:tabs>
          <w:tab w:val="left" w:pos="360"/>
        </w:tabs>
        <w:contextualSpacing/>
        <w:jc w:val="both"/>
        <w:rPr>
          <w:rFonts w:ascii="Century Gothic" w:hAnsi="Century Gothic"/>
          <w:b w:val="0"/>
          <w:i w:val="0"/>
          <w:color w:val="FF0000"/>
        </w:rPr>
      </w:pPr>
      <w:r w:rsidRPr="00F06D8F">
        <w:rPr>
          <w:rFonts w:ascii="Century Gothic" w:hAnsi="Century Gothic"/>
          <w:b w:val="0"/>
          <w:i w:val="0"/>
          <w:color w:val="FF0000"/>
        </w:rPr>
        <w:t>10. SDRP Modifications</w:t>
      </w:r>
    </w:p>
    <w:p w14:paraId="54F23853" w14:textId="77777777" w:rsidR="00E502B9" w:rsidRPr="00955A25" w:rsidRDefault="00F06D8F" w:rsidP="00F06D8F">
      <w:pPr>
        <w:autoSpaceDE w:val="0"/>
        <w:autoSpaceDN w:val="0"/>
        <w:adjustRightInd w:val="0"/>
        <w:contextualSpacing/>
        <w:jc w:val="both"/>
        <w:rPr>
          <w:rFonts w:ascii="Helvetica Neue" w:hAnsi="Helvetica Neue" w:cs="Times"/>
          <w:sz w:val="22"/>
          <w:szCs w:val="32"/>
        </w:rPr>
      </w:pPr>
      <w:r w:rsidRPr="002E07F4">
        <w:rPr>
          <w:rFonts w:ascii="Helvetica Light" w:hAnsi="Helvetica Light" w:cs="Arial"/>
          <w:sz w:val="22"/>
          <w:szCs w:val="22"/>
        </w:rPr>
        <w:t>The Forum reserves the right to modify this SDRP at any time subject to the terms of its MoU with the Registry. Such revised SDRP shall be posted on the Forum Website at least thirty (30) calendar days before it becomes effective;</w:t>
      </w:r>
      <w:r w:rsidRPr="002E07F4">
        <w:rPr>
          <w:rStyle w:val="FootnoteReference"/>
          <w:rFonts w:ascii="Helvetica Light" w:hAnsi="Helvetica Light" w:cs="Arial"/>
          <w:sz w:val="22"/>
          <w:szCs w:val="22"/>
        </w:rPr>
        <w:footnoteReference w:id="12"/>
      </w:r>
      <w:r w:rsidRPr="002E07F4">
        <w:rPr>
          <w:rFonts w:ascii="Helvetica Light" w:hAnsi="Helvetica Light" w:cs="Arial"/>
          <w:sz w:val="22"/>
          <w:szCs w:val="22"/>
        </w:rPr>
        <w:t xml:space="preserve"> unless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registration, provided that registrant will not be entitled to a refund of any fees paid in connection with such registration.</w:t>
      </w:r>
    </w:p>
    <w:sectPr w:rsidR="00E502B9" w:rsidRPr="00955A25" w:rsidSect="000A0E18">
      <w:footerReference w:type="default" r:id="rId8"/>
      <w:type w:val="continuous"/>
      <w:pgSz w:w="12240" w:h="15840" w:code="1"/>
      <w:pgMar w:top="1440" w:right="1440" w:bottom="1440" w:left="1440" w:header="0" w:footer="288"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68B7E" w14:textId="77777777" w:rsidR="006744BC" w:rsidRDefault="006744BC">
      <w:r>
        <w:separator/>
      </w:r>
    </w:p>
  </w:endnote>
  <w:endnote w:type="continuationSeparator" w:id="0">
    <w:p w14:paraId="4B9E5D25" w14:textId="77777777" w:rsidR="006744BC" w:rsidRDefault="0067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Helvetica Light">
    <w:panose1 w:val="020B0403020202020204"/>
    <w:charset w:val="00"/>
    <w:family w:val="auto"/>
    <w:pitch w:val="variable"/>
    <w:sig w:usb0="800000AF" w:usb1="4000204A"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7D996" w14:textId="77777777" w:rsidR="006744BC" w:rsidRDefault="00F06D8F" w:rsidP="00E502B9">
    <w:pPr>
      <w:pStyle w:val="Footer"/>
      <w:tabs>
        <w:tab w:val="clear" w:pos="4320"/>
        <w:tab w:val="clear" w:pos="8640"/>
        <w:tab w:val="right" w:pos="9360"/>
      </w:tabs>
      <w:rPr>
        <w:rFonts w:ascii="Century Gothic" w:hAnsi="Century Gothic"/>
        <w:sz w:val="16"/>
      </w:rPr>
    </w:pPr>
    <w:r>
      <w:rPr>
        <w:rFonts w:ascii="Century Gothic" w:hAnsi="Century Gothic"/>
        <w:sz w:val="16"/>
      </w:rPr>
      <w:t>SDRP ++ 11 March 2014</w:t>
    </w:r>
  </w:p>
  <w:p w14:paraId="260339F8" w14:textId="77777777" w:rsidR="006744BC" w:rsidRPr="00D37425" w:rsidRDefault="006744BC" w:rsidP="00E502B9">
    <w:pPr>
      <w:pStyle w:val="Footer"/>
      <w:tabs>
        <w:tab w:val="clear" w:pos="4320"/>
        <w:tab w:val="clear" w:pos="8640"/>
        <w:tab w:val="right" w:pos="9360"/>
      </w:tabs>
      <w:rPr>
        <w:rFonts w:ascii="Century Gothic" w:hAnsi="Century Gothic"/>
        <w:sz w:val="8"/>
      </w:rPr>
    </w:pPr>
  </w:p>
  <w:p w14:paraId="64D396D7" w14:textId="566248FB" w:rsidR="006744BC" w:rsidRPr="00A6670F" w:rsidRDefault="00715977" w:rsidP="00E502B9">
    <w:pPr>
      <w:pStyle w:val="Footer"/>
      <w:tabs>
        <w:tab w:val="clear" w:pos="4320"/>
        <w:tab w:val="clear" w:pos="8640"/>
        <w:tab w:val="center" w:pos="4680"/>
        <w:tab w:val="right" w:pos="9360"/>
      </w:tabs>
      <w:jc w:val="center"/>
      <w:rPr>
        <w:rFonts w:ascii="Century Gothic" w:hAnsi="Century Gothic"/>
        <w:sz w:val="16"/>
      </w:rPr>
    </w:pPr>
    <w:r>
      <w:rPr>
        <w:rFonts w:ascii="Century Gothic" w:hAnsi="Century Gothic"/>
        <w:noProof/>
        <w:sz w:val="16"/>
      </w:rPr>
      <mc:AlternateContent>
        <mc:Choice Requires="wps">
          <w:drawing>
            <wp:anchor distT="0" distB="0" distL="114300" distR="114300" simplePos="0" relativeHeight="251660288" behindDoc="0" locked="0" layoutInCell="1" allowOverlap="1" wp14:anchorId="64E1A3C8" wp14:editId="4EEC32B6">
              <wp:simplePos x="0" y="0"/>
              <wp:positionH relativeFrom="page">
                <wp:posOffset>193675</wp:posOffset>
              </wp:positionH>
              <wp:positionV relativeFrom="page">
                <wp:posOffset>9620885</wp:posOffset>
              </wp:positionV>
              <wp:extent cx="462280" cy="5105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510540"/>
                      </a:xfrm>
                      <a:prstGeom prst="rect">
                        <a:avLst/>
                      </a:prstGeom>
                      <a:solidFill>
                        <a:srgbClr val="FFFFFF"/>
                      </a:solidFill>
                      <a:ln>
                        <a:noFill/>
                      </a:ln>
                      <a:extLst>
                        <a:ext uri="{91240B29-F687-4f45-9708-019B960494DF}">
                          <a14:hiddenLine xmlns:a14="http://schemas.microsoft.com/office/drawing/2010/main" w="12700">
                            <a:solidFill>
                              <a:srgbClr val="7B7CB7"/>
                            </a:solidFill>
                            <a:miter lim="800000"/>
                            <a:headEnd/>
                            <a:tailEnd/>
                          </a14:hiddenLine>
                        </a:ext>
                      </a:extLst>
                    </wps:spPr>
                    <wps:txbx>
                      <w:txbxContent>
                        <w:p w14:paraId="06DB2A3E" w14:textId="77777777" w:rsidR="006744BC" w:rsidRDefault="006744BC">
                          <w:r>
                            <w:rPr>
                              <w:noProof/>
                            </w:rPr>
                            <w:drawing>
                              <wp:inline distT="0" distB="0" distL="0" distR="0" wp14:anchorId="16F47B77" wp14:editId="3C313921">
                                <wp:extent cx="266700" cy="266700"/>
                                <wp:effectExtent l="25400" t="0" r="0" b="0"/>
                                <wp:docPr id="48" name="Picture 2" descr="mm-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small"/>
                                        <pic:cNvPicPr>
                                          <a:picLocks noChangeAspect="1" noChangeArrowheads="1"/>
                                        </pic:cNvPicPr>
                                      </pic:nvPicPr>
                                      <pic:blipFill>
                                        <a:blip r:embed="rId1"/>
                                        <a:srcRect/>
                                        <a:stretch>
                                          <a:fillRect/>
                                        </a:stretch>
                                      </pic:blipFill>
                                      <pic:spPr bwMode="auto">
                                        <a:xfrm>
                                          <a:off x="0" y="0"/>
                                          <a:ext cx="266700" cy="266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5.25pt;margin-top:757.55pt;width:36.4pt;height:4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" stroked="f" strokecolor="#7b7cb7" strokeweight="1pt">
              <v:textbox>
                <w:txbxContent>
                  <w:p w14:paraId="06DB2A3E" w14:textId="77777777" w:rsidR="006744BC" w:rsidRDefault="006744BC">
                    <w:r>
                      <w:rPr>
                        <w:noProof/>
                      </w:rPr>
                      <w:drawing>
                        <wp:inline distT="0" distB="0" distL="0" distR="0" wp14:anchorId="16F47B77" wp14:editId="3C313921">
                          <wp:extent cx="266700" cy="266700"/>
                          <wp:effectExtent l="25400" t="0" r="0" b="0"/>
                          <wp:docPr id="48" name="Picture 2" descr="mm-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small"/>
                                  <pic:cNvPicPr>
                                    <a:picLocks noChangeAspect="1" noChangeArrowheads="1"/>
                                  </pic:cNvPicPr>
                                </pic:nvPicPr>
                                <pic:blipFill>
                                  <a:blip r:embed="rId2"/>
                                  <a:srcRect/>
                                  <a:stretch>
                                    <a:fillRect/>
                                  </a:stretch>
                                </pic:blipFill>
                                <pic:spPr bwMode="auto">
                                  <a:xfrm>
                                    <a:off x="0" y="0"/>
                                    <a:ext cx="266700" cy="2667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F06D8F" w:rsidRPr="002E07F4">
      <w:rPr>
        <w:rFonts w:ascii="Helvetica Light" w:hAnsi="Helvetica Light" w:cs="Arial"/>
        <w:bCs/>
        <w:noProof/>
      </w:rPr>
      <w:drawing>
        <wp:anchor distT="0" distB="0" distL="114300" distR="114300" simplePos="0" relativeHeight="251695104" behindDoc="0" locked="0" layoutInCell="1" allowOverlap="1" wp14:anchorId="3F550B12" wp14:editId="3C967C18">
          <wp:simplePos x="0" y="0"/>
          <wp:positionH relativeFrom="column">
            <wp:posOffset>5282565</wp:posOffset>
          </wp:positionH>
          <wp:positionV relativeFrom="page">
            <wp:posOffset>9668721</wp:posOffset>
          </wp:positionV>
          <wp:extent cx="1412240" cy="247015"/>
          <wp:effectExtent l="0" t="0" r="0" b="0"/>
          <wp:wrapNone/>
          <wp:docPr id="1" name="Picture 1" descr="FORUM-36p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UM-36pt-Blac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12240" cy="24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4BC">
      <w:rPr>
        <w:rFonts w:ascii="Century Gothic" w:hAnsi="Century Gothic"/>
        <w:sz w:val="16"/>
      </w:rPr>
      <w:tab/>
    </w:r>
    <w:r w:rsidR="006744BC" w:rsidRPr="00A6670F">
      <w:rPr>
        <w:rFonts w:ascii="Century Gothic" w:hAnsi="Century Gothic"/>
        <w:sz w:val="16"/>
      </w:rPr>
      <w:t>Minds + Machines</w:t>
    </w:r>
    <w:r w:rsidR="00F06D8F">
      <w:rPr>
        <w:rFonts w:ascii="Century Gothic" w:hAnsi="Century Gothic"/>
        <w:sz w:val="16"/>
      </w:rPr>
      <w:t xml:space="preserve"> with the National Arbitration Forum</w:t>
    </w:r>
    <w:r w:rsidR="00F06D8F">
      <w:rPr>
        <w:rFonts w:ascii="Century Gothic" w:hAnsi="Century Gothic"/>
        <w:sz w:val="16"/>
      </w:rPr>
      <w:tab/>
    </w:r>
    <w:r w:rsidR="00D2327A" w:rsidRPr="00A6670F">
      <w:rPr>
        <w:rStyle w:val="PageNumber"/>
        <w:rFonts w:ascii="Century Gothic" w:hAnsi="Century Gothic"/>
      </w:rPr>
      <w:fldChar w:fldCharType="begin"/>
    </w:r>
    <w:r w:rsidR="006744BC" w:rsidRPr="00A6670F">
      <w:rPr>
        <w:rStyle w:val="PageNumber"/>
        <w:rFonts w:ascii="Century Gothic" w:hAnsi="Century Gothic"/>
      </w:rPr>
      <w:instrText xml:space="preserve"> PAGE </w:instrText>
    </w:r>
    <w:r w:rsidR="00D2327A" w:rsidRPr="00A6670F">
      <w:rPr>
        <w:rStyle w:val="PageNumber"/>
        <w:rFonts w:ascii="Century Gothic" w:hAnsi="Century Gothic"/>
      </w:rPr>
      <w:fldChar w:fldCharType="separate"/>
    </w:r>
    <w:r w:rsidR="007F722A">
      <w:rPr>
        <w:rStyle w:val="PageNumber"/>
        <w:rFonts w:ascii="Century Gothic" w:hAnsi="Century Gothic"/>
        <w:noProof/>
      </w:rPr>
      <w:t>1</w:t>
    </w:r>
    <w:r w:rsidR="00D2327A" w:rsidRPr="00A6670F">
      <w:rPr>
        <w:rStyle w:val="PageNumber"/>
        <w:rFonts w:ascii="Century Gothic" w:hAnsi="Century Gothic"/>
      </w:rPr>
      <w:fldChar w:fldCharType="end"/>
    </w:r>
  </w:p>
  <w:p w14:paraId="244E9557" w14:textId="77777777" w:rsidR="006744BC" w:rsidRDefault="006744BC" w:rsidP="00E502B9">
    <w:pPr>
      <w:pStyle w:val="Footer"/>
      <w:jc w:val="center"/>
      <w:rPr>
        <w:rFonts w:ascii="Century Gothic" w:hAnsi="Century Gothic"/>
        <w:sz w:val="16"/>
      </w:rPr>
    </w:pPr>
  </w:p>
  <w:p w14:paraId="75C3FF45" w14:textId="77777777" w:rsidR="00F06D8F" w:rsidRPr="00A6670F" w:rsidRDefault="00F06D8F" w:rsidP="00E502B9">
    <w:pPr>
      <w:pStyle w:val="Footer"/>
      <w:jc w:val="center"/>
      <w:rPr>
        <w:rFonts w:ascii="Century Gothic" w:hAnsi="Century Gothic"/>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7A968" w14:textId="77777777" w:rsidR="006744BC" w:rsidRDefault="006744BC">
      <w:r>
        <w:separator/>
      </w:r>
    </w:p>
  </w:footnote>
  <w:footnote w:type="continuationSeparator" w:id="0">
    <w:p w14:paraId="2488368E" w14:textId="77777777" w:rsidR="006744BC" w:rsidRDefault="006744BC">
      <w:r>
        <w:continuationSeparator/>
      </w:r>
    </w:p>
  </w:footnote>
  <w:footnote w:id="1">
    <w:p w14:paraId="7423744A"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Applicant Guidebook 4 June 2012, Module 5, Page 8, Article 6.2.4.</w:t>
      </w:r>
      <w:r>
        <w:rPr>
          <w:rFonts w:ascii="Helvetica Light" w:hAnsi="Helvetica Light"/>
          <w:sz w:val="18"/>
          <w:szCs w:val="18"/>
        </w:rPr>
        <w:t xml:space="preserve"> </w:t>
      </w:r>
      <w:r w:rsidRPr="00F06D8F">
        <w:rPr>
          <w:rFonts w:ascii="Helvetica Light" w:hAnsi="Helvetica Light"/>
          <w:sz w:val="18"/>
          <w:szCs w:val="18"/>
        </w:rPr>
        <w:t>A dispute under this section also addresses the TLD Criteria from ICANN’s Trademark Clearinghouse Rights Protection Mechanism Requirements [published 30 September 2013], Article 2.3.6 and Article 2.3.1.4.</w:t>
      </w:r>
      <w:r>
        <w:rPr>
          <w:rFonts w:ascii="Helvetica Light" w:hAnsi="Helvetica Light"/>
          <w:sz w:val="18"/>
          <w:szCs w:val="18"/>
        </w:rPr>
        <w:t xml:space="preserve"> </w:t>
      </w:r>
      <w:r w:rsidRPr="00F06D8F">
        <w:rPr>
          <w:rFonts w:ascii="Helvetica Light" w:hAnsi="Helvetica Light"/>
          <w:sz w:val="18"/>
          <w:szCs w:val="18"/>
        </w:rPr>
        <w:t>The Forum’s SDRP does not interact with (nor instruct) the Trademark Clearinghouse and is limited to adjudicating disputes over the Registry’s registration and allocation of domain names during the sunrise period.</w:t>
      </w:r>
    </w:p>
  </w:footnote>
  <w:footnote w:id="2">
    <w:p w14:paraId="0F313758"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For the purposes of analysis of this element, neither the gTLD itself, nor the “dot,” shall be considered.</w:t>
      </w:r>
    </w:p>
  </w:footnote>
  <w:footnote w:id="3">
    <w:p w14:paraId="6E24D334"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A dispute under this section addresses the TLD Criteria from ICANN’s Trademark Clearinghouse Rights Protection Mechanism Requirements [Published 30 September 2013], Article 2.3.1.</w:t>
      </w:r>
    </w:p>
  </w:footnote>
  <w:footnote w:id="4">
    <w:p w14:paraId="15C7607D"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“Sunrise Criteria” are defined in ICANN’s Trademark Clearinghouse Rights Protection Mechanism Requirements [Published 30 September 2013], Article 2.3.</w:t>
      </w:r>
    </w:p>
  </w:footnote>
  <w:footnote w:id="5">
    <w:p w14:paraId="1CCD52C9"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Trademark Clearinghouse Rights Protection Mechanism Requirements [Published 30 September], Article 2.3.1.1.</w:t>
      </w:r>
    </w:p>
  </w:footnote>
  <w:footnote w:id="6">
    <w:p w14:paraId="0BEDA56A"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Trademark Clearinghouse Rights Protection Mechanism Requirements [Published 30 September], Article 2.3.1.2.</w:t>
      </w:r>
    </w:p>
  </w:footnote>
  <w:footnote w:id="7">
    <w:p w14:paraId="36EF966B"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Trademark Clearinghouse Rights Protection Mechanism Requirements [Published 30 September], Article 2.3.1.3.</w:t>
      </w:r>
    </w:p>
  </w:footnote>
  <w:footnote w:id="8">
    <w:p w14:paraId="206A6894"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Trademark Clearinghouse Rights Protection Mechanism Requirements [Published 30 September], Article 2.3.1.4.</w:t>
      </w:r>
    </w:p>
  </w:footnote>
  <w:footnote w:id="9">
    <w:p w14:paraId="2D3ACA36"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A dispute under this element does not include any complaints as to the manner in which an auction provider may have conducted the auction.</w:t>
      </w:r>
    </w:p>
  </w:footnote>
  <w:footnote w:id="10">
    <w:p w14:paraId="436C484B"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A Registry may, though its agreement with registrars, instead require the registrar to perform the lock and/or implementation steps.</w:t>
      </w:r>
    </w:p>
  </w:footnote>
  <w:footnote w:id="11">
    <w:p w14:paraId="2C1E3472" w14:textId="77777777"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A Registry may, though its agreement with registrars, instead require the registrar to perform the lock and implementation steps.</w:t>
      </w:r>
    </w:p>
  </w:footnote>
  <w:footnote w:id="12">
    <w:p w14:paraId="1DCED308" w14:textId="7398485E" w:rsidR="00F06D8F" w:rsidRPr="00F06D8F" w:rsidRDefault="00F06D8F" w:rsidP="00F06D8F">
      <w:pPr>
        <w:pStyle w:val="FootnoteText"/>
        <w:rPr>
          <w:rFonts w:ascii="Helvetica Light" w:hAnsi="Helvetica Light"/>
          <w:sz w:val="18"/>
          <w:szCs w:val="18"/>
        </w:rPr>
      </w:pPr>
      <w:r w:rsidRPr="00F06D8F">
        <w:rPr>
          <w:rStyle w:val="FootnoteReference"/>
          <w:rFonts w:ascii="Helvetica Light" w:hAnsi="Helvetica Light"/>
          <w:sz w:val="18"/>
          <w:szCs w:val="18"/>
        </w:rPr>
        <w:footnoteRef/>
      </w:r>
      <w:r w:rsidRPr="00F06D8F">
        <w:rPr>
          <w:rFonts w:ascii="Helvetica Light" w:hAnsi="Helvetica Light"/>
          <w:sz w:val="18"/>
          <w:szCs w:val="18"/>
        </w:rPr>
        <w:t xml:space="preserve"> The Forum </w:t>
      </w:r>
      <w:r w:rsidR="00715977">
        <w:rPr>
          <w:rFonts w:ascii="Helvetica Light" w:hAnsi="Helvetica Light"/>
          <w:sz w:val="18"/>
          <w:szCs w:val="18"/>
        </w:rPr>
        <w:t xml:space="preserve">and/or the </w:t>
      </w:r>
      <w:r w:rsidR="00715977" w:rsidRPr="00715977">
        <w:rPr>
          <w:rFonts w:ascii="Helvetica Light" w:hAnsi="Helvetica Light"/>
          <w:sz w:val="18"/>
          <w:szCs w:val="18"/>
        </w:rPr>
        <w:t xml:space="preserve">Registry </w:t>
      </w:r>
      <w:r w:rsidRPr="00F06D8F">
        <w:rPr>
          <w:rFonts w:ascii="Helvetica Light" w:hAnsi="Helvetica Light"/>
          <w:sz w:val="18"/>
          <w:szCs w:val="18"/>
        </w:rPr>
        <w:t>may correct typographical errors without notice.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5E6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97AA6AC"/>
    <w:lvl w:ilvl="0">
      <w:start w:val="1"/>
      <w:numFmt w:val="decimal"/>
      <w:lvlText w:val="%1."/>
      <w:lvlJc w:val="left"/>
      <w:pPr>
        <w:tabs>
          <w:tab w:val="num" w:pos="1800"/>
        </w:tabs>
        <w:ind w:left="1800" w:hanging="360"/>
      </w:pPr>
    </w:lvl>
  </w:abstractNum>
  <w:abstractNum w:abstractNumId="2">
    <w:nsid w:val="FFFFFF7D"/>
    <w:multiLevelType w:val="singleLevel"/>
    <w:tmpl w:val="F17EFF3C"/>
    <w:lvl w:ilvl="0">
      <w:start w:val="1"/>
      <w:numFmt w:val="decimal"/>
      <w:lvlText w:val="%1."/>
      <w:lvlJc w:val="left"/>
      <w:pPr>
        <w:tabs>
          <w:tab w:val="num" w:pos="1440"/>
        </w:tabs>
        <w:ind w:left="1440" w:hanging="360"/>
      </w:pPr>
    </w:lvl>
  </w:abstractNum>
  <w:abstractNum w:abstractNumId="3">
    <w:nsid w:val="FFFFFF7E"/>
    <w:multiLevelType w:val="singleLevel"/>
    <w:tmpl w:val="30C20644"/>
    <w:lvl w:ilvl="0">
      <w:start w:val="1"/>
      <w:numFmt w:val="decimal"/>
      <w:lvlText w:val="%1."/>
      <w:lvlJc w:val="left"/>
      <w:pPr>
        <w:tabs>
          <w:tab w:val="num" w:pos="1080"/>
        </w:tabs>
        <w:ind w:left="1080" w:hanging="360"/>
      </w:pPr>
    </w:lvl>
  </w:abstractNum>
  <w:abstractNum w:abstractNumId="4">
    <w:nsid w:val="FFFFFF7F"/>
    <w:multiLevelType w:val="singleLevel"/>
    <w:tmpl w:val="A07E9BB0"/>
    <w:lvl w:ilvl="0">
      <w:start w:val="1"/>
      <w:numFmt w:val="decimal"/>
      <w:lvlText w:val="%1."/>
      <w:lvlJc w:val="left"/>
      <w:pPr>
        <w:tabs>
          <w:tab w:val="num" w:pos="720"/>
        </w:tabs>
        <w:ind w:left="720" w:hanging="360"/>
      </w:pPr>
    </w:lvl>
  </w:abstractNum>
  <w:abstractNum w:abstractNumId="5">
    <w:nsid w:val="FFFFFF80"/>
    <w:multiLevelType w:val="singleLevel"/>
    <w:tmpl w:val="20B63C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6DA698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7F6D97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7B4692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4E2EB0"/>
    <w:lvl w:ilvl="0">
      <w:start w:val="1"/>
      <w:numFmt w:val="decimal"/>
      <w:lvlText w:val="%1."/>
      <w:lvlJc w:val="left"/>
      <w:pPr>
        <w:tabs>
          <w:tab w:val="num" w:pos="360"/>
        </w:tabs>
        <w:ind w:left="360" w:hanging="360"/>
      </w:pPr>
    </w:lvl>
  </w:abstractNum>
  <w:abstractNum w:abstractNumId="10">
    <w:nsid w:val="FFFFFF89"/>
    <w:multiLevelType w:val="singleLevel"/>
    <w:tmpl w:val="3CC83808"/>
    <w:lvl w:ilvl="0">
      <w:start w:val="1"/>
      <w:numFmt w:val="bullet"/>
      <w:lvlText w:val=""/>
      <w:lvlJc w:val="left"/>
      <w:pPr>
        <w:tabs>
          <w:tab w:val="num" w:pos="360"/>
        </w:tabs>
        <w:ind w:left="360" w:hanging="360"/>
      </w:pPr>
      <w:rPr>
        <w:rFonts w:ascii="Symbol" w:hAnsi="Symbol" w:hint="default"/>
      </w:rPr>
    </w:lvl>
  </w:abstractNum>
  <w:abstractNum w:abstractNumId="11">
    <w:nsid w:val="0E016C58"/>
    <w:multiLevelType w:val="hybridMultilevel"/>
    <w:tmpl w:val="695EA496"/>
    <w:lvl w:ilvl="0" w:tplc="1D34DA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32E7705"/>
    <w:multiLevelType w:val="hybridMultilevel"/>
    <w:tmpl w:val="73BA0E9A"/>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4254F4"/>
    <w:multiLevelType w:val="hybridMultilevel"/>
    <w:tmpl w:val="D31C68CC"/>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EF44C3"/>
    <w:multiLevelType w:val="multilevel"/>
    <w:tmpl w:val="B4F6D482"/>
    <w:lvl w:ilvl="0">
      <w:numFmt w:val="bullet"/>
      <w:lvlText w:val=""/>
      <w:lvlJc w:val="left"/>
      <w:pPr>
        <w:ind w:left="420" w:hanging="360"/>
      </w:pPr>
      <w:rPr>
        <w:rFonts w:ascii="Symbol" w:eastAsia="Times New Roman" w:hAnsi="Symbol" w:cs="Symbo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5">
    <w:nsid w:val="17315662"/>
    <w:multiLevelType w:val="hybridMultilevel"/>
    <w:tmpl w:val="93E428B6"/>
    <w:lvl w:ilvl="0" w:tplc="C1DCC97C">
      <w:start w:val="1"/>
      <w:numFmt w:val="bullet"/>
      <w:lvlText w:val="+"/>
      <w:lvlJc w:val="left"/>
      <w:pPr>
        <w:ind w:left="720" w:hanging="360"/>
      </w:pPr>
      <w:rPr>
        <w:rFonts w:ascii="Century Gothic" w:hAnsi="Century Gothic" w:hint="default"/>
        <w:b w:val="0"/>
        <w:i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5A28E2"/>
    <w:multiLevelType w:val="hybridMultilevel"/>
    <w:tmpl w:val="1090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A149D9"/>
    <w:multiLevelType w:val="hybridMultilevel"/>
    <w:tmpl w:val="A2482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C07980"/>
    <w:multiLevelType w:val="hybridMultilevel"/>
    <w:tmpl w:val="0FE8A9FE"/>
    <w:lvl w:ilvl="0" w:tplc="10C480F8">
      <w:numFmt w:val="bullet"/>
      <w:lvlText w:val="-"/>
      <w:lvlJc w:val="left"/>
      <w:pPr>
        <w:ind w:left="420" w:hanging="360"/>
      </w:pPr>
      <w:rPr>
        <w:rFonts w:ascii="Helvetica Neue" w:eastAsia="Times New Roman" w:hAnsi="Helvetica Neue" w:cs="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276D48B2"/>
    <w:multiLevelType w:val="hybridMultilevel"/>
    <w:tmpl w:val="4746C9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95C6091"/>
    <w:multiLevelType w:val="multilevel"/>
    <w:tmpl w:val="1090AE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7A5194"/>
    <w:multiLevelType w:val="hybridMultilevel"/>
    <w:tmpl w:val="A5F054EE"/>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3A7C78"/>
    <w:multiLevelType w:val="hybridMultilevel"/>
    <w:tmpl w:val="CB16C41A"/>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A24B69"/>
    <w:multiLevelType w:val="multilevel"/>
    <w:tmpl w:val="0FE8A9FE"/>
    <w:lvl w:ilvl="0">
      <w:numFmt w:val="bullet"/>
      <w:lvlText w:val="-"/>
      <w:lvlJc w:val="left"/>
      <w:pPr>
        <w:ind w:left="420" w:hanging="360"/>
      </w:pPr>
      <w:rPr>
        <w:rFonts w:ascii="Helvetica Neue" w:eastAsia="Times New Roman" w:hAnsi="Helvetica Neue" w:cs="Symbo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4">
    <w:nsid w:val="332E3C31"/>
    <w:multiLevelType w:val="hybridMultilevel"/>
    <w:tmpl w:val="CE680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763870"/>
    <w:multiLevelType w:val="hybridMultilevel"/>
    <w:tmpl w:val="A4C241E6"/>
    <w:lvl w:ilvl="0" w:tplc="C1DCC97C">
      <w:start w:val="1"/>
      <w:numFmt w:val="bullet"/>
      <w:lvlText w:val="+"/>
      <w:lvlJc w:val="left"/>
      <w:pPr>
        <w:ind w:left="936" w:hanging="360"/>
      </w:pPr>
      <w:rPr>
        <w:rFonts w:ascii="Century Gothic" w:hAnsi="Century Gothic" w:hint="default"/>
        <w:b w:val="0"/>
        <w:i w:val="0"/>
        <w:sz w:val="24"/>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nsid w:val="35855AE7"/>
    <w:multiLevelType w:val="hybridMultilevel"/>
    <w:tmpl w:val="12D279FC"/>
    <w:lvl w:ilvl="0" w:tplc="C1DCC97C">
      <w:start w:val="1"/>
      <w:numFmt w:val="bullet"/>
      <w:lvlText w:val="+"/>
      <w:lvlJc w:val="left"/>
      <w:pPr>
        <w:ind w:left="1800" w:hanging="360"/>
      </w:pPr>
      <w:rPr>
        <w:rFonts w:ascii="Century Gothic" w:hAnsi="Century Gothic" w:hint="default"/>
        <w:b w:val="0"/>
        <w:i w:val="0"/>
        <w:sz w:val="24"/>
      </w:rPr>
    </w:lvl>
    <w:lvl w:ilvl="1" w:tplc="C1DCC97C">
      <w:start w:val="1"/>
      <w:numFmt w:val="bullet"/>
      <w:lvlText w:val="+"/>
      <w:lvlJc w:val="left"/>
      <w:pPr>
        <w:ind w:left="2520" w:hanging="360"/>
      </w:pPr>
      <w:rPr>
        <w:rFonts w:ascii="Century Gothic" w:hAnsi="Century Gothic" w:hint="default"/>
        <w:b w:val="0"/>
        <w:i w:val="0"/>
        <w:sz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C1E0585"/>
    <w:multiLevelType w:val="multilevel"/>
    <w:tmpl w:val="5922F4C6"/>
    <w:lvl w:ilvl="0">
      <w:start w:val="1"/>
      <w:numFmt w:val="lowerRoman"/>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D8841FD"/>
    <w:multiLevelType w:val="hybridMultilevel"/>
    <w:tmpl w:val="6E9A6EAE"/>
    <w:lvl w:ilvl="0" w:tplc="C1DCC97C">
      <w:start w:val="1"/>
      <w:numFmt w:val="bullet"/>
      <w:lvlText w:val="+"/>
      <w:lvlJc w:val="left"/>
      <w:pPr>
        <w:ind w:left="420" w:hanging="360"/>
      </w:pPr>
      <w:rPr>
        <w:rFonts w:ascii="Century Gothic" w:hAnsi="Century Gothic" w:hint="default"/>
        <w:b w:val="0"/>
        <w:i w:val="0"/>
        <w:sz w:val="24"/>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405A71A9"/>
    <w:multiLevelType w:val="hybridMultilevel"/>
    <w:tmpl w:val="4656C674"/>
    <w:lvl w:ilvl="0" w:tplc="C1DCC97C">
      <w:start w:val="1"/>
      <w:numFmt w:val="bullet"/>
      <w:lvlText w:val="+"/>
      <w:lvlJc w:val="left"/>
      <w:pPr>
        <w:ind w:left="420" w:hanging="360"/>
      </w:pPr>
      <w:rPr>
        <w:rFonts w:ascii="Century Gothic" w:hAnsi="Century Gothic" w:hint="default"/>
        <w:b w:val="0"/>
        <w:i w:val="0"/>
        <w:sz w:val="24"/>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420E5A0A"/>
    <w:multiLevelType w:val="hybridMultilevel"/>
    <w:tmpl w:val="ED546CD6"/>
    <w:lvl w:ilvl="0" w:tplc="A46A12F8">
      <w:start w:val="1"/>
      <w:numFmt w:val="decimal"/>
      <w:lvlText w:val="%1."/>
      <w:lvlJc w:val="left"/>
      <w:pPr>
        <w:ind w:left="420" w:hanging="360"/>
      </w:pPr>
      <w:rPr>
        <w:rFonts w:ascii="Century Gothic" w:hAnsi="Century Gothic" w:hint="default"/>
        <w:b w:val="0"/>
        <w:i w:val="0"/>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4B496C05"/>
    <w:multiLevelType w:val="hybridMultilevel"/>
    <w:tmpl w:val="E6B08C10"/>
    <w:lvl w:ilvl="0" w:tplc="B1E066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B05884"/>
    <w:multiLevelType w:val="hybridMultilevel"/>
    <w:tmpl w:val="0DDE4474"/>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2268B5"/>
    <w:multiLevelType w:val="hybridMultilevel"/>
    <w:tmpl w:val="78724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FB4484"/>
    <w:multiLevelType w:val="hybridMultilevel"/>
    <w:tmpl w:val="807A6FEC"/>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F8174E"/>
    <w:multiLevelType w:val="hybridMultilevel"/>
    <w:tmpl w:val="9AFC512E"/>
    <w:lvl w:ilvl="0" w:tplc="C1DCC97C">
      <w:start w:val="1"/>
      <w:numFmt w:val="bullet"/>
      <w:lvlText w:val="+"/>
      <w:lvlJc w:val="left"/>
      <w:pPr>
        <w:ind w:left="440" w:hanging="360"/>
      </w:pPr>
      <w:rPr>
        <w:rFonts w:ascii="Century Gothic" w:hAnsi="Century Gothic" w:hint="default"/>
        <w:b w:val="0"/>
        <w:i w:val="0"/>
        <w:sz w:val="24"/>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6">
    <w:nsid w:val="5C934838"/>
    <w:multiLevelType w:val="multilevel"/>
    <w:tmpl w:val="695EA496"/>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7">
    <w:nsid w:val="66FE7480"/>
    <w:multiLevelType w:val="hybridMultilevel"/>
    <w:tmpl w:val="B4F6D482"/>
    <w:lvl w:ilvl="0" w:tplc="74D6B57A">
      <w:numFmt w:val="bullet"/>
      <w:lvlText w:val=""/>
      <w:lvlJc w:val="left"/>
      <w:pPr>
        <w:ind w:left="420" w:hanging="360"/>
      </w:pPr>
      <w:rPr>
        <w:rFonts w:ascii="Symbol" w:eastAsia="Times New Roman" w:hAnsi="Symbol" w:cs="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DA42F9"/>
    <w:multiLevelType w:val="multilevel"/>
    <w:tmpl w:val="78724E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8F71097"/>
    <w:multiLevelType w:val="multilevel"/>
    <w:tmpl w:val="A2482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304962"/>
    <w:multiLevelType w:val="hybridMultilevel"/>
    <w:tmpl w:val="FB8CE2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0F4511"/>
    <w:multiLevelType w:val="hybridMultilevel"/>
    <w:tmpl w:val="E5801C70"/>
    <w:lvl w:ilvl="0" w:tplc="C1DCC97C">
      <w:start w:val="1"/>
      <w:numFmt w:val="bullet"/>
      <w:lvlText w:val="+"/>
      <w:lvlJc w:val="left"/>
      <w:pPr>
        <w:ind w:left="720" w:hanging="360"/>
      </w:pPr>
      <w:rPr>
        <w:rFonts w:ascii="Century Gothic" w:hAnsi="Century Gothic"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63E0D"/>
    <w:multiLevelType w:val="multilevel"/>
    <w:tmpl w:val="FB8CE29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768166D"/>
    <w:multiLevelType w:val="hybridMultilevel"/>
    <w:tmpl w:val="3300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E17E1"/>
    <w:multiLevelType w:val="hybridMultilevel"/>
    <w:tmpl w:val="D50493F4"/>
    <w:lvl w:ilvl="0" w:tplc="C1DCC97C">
      <w:start w:val="1"/>
      <w:numFmt w:val="bullet"/>
      <w:lvlText w:val="+"/>
      <w:lvlJc w:val="left"/>
      <w:pPr>
        <w:ind w:left="1800" w:hanging="360"/>
      </w:pPr>
      <w:rPr>
        <w:rFonts w:ascii="Century Gothic" w:hAnsi="Century Gothic" w:hint="default"/>
        <w:b w:val="0"/>
        <w:i w:val="0"/>
        <w:sz w:val="24"/>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5"/>
  </w:num>
  <w:num w:numId="2">
    <w:abstractNumId w:val="35"/>
  </w:num>
  <w:num w:numId="3">
    <w:abstractNumId w:val="34"/>
  </w:num>
  <w:num w:numId="4">
    <w:abstractNumId w:val="12"/>
  </w:num>
  <w:num w:numId="5">
    <w:abstractNumId w:val="21"/>
  </w:num>
  <w:num w:numId="6">
    <w:abstractNumId w:val="45"/>
  </w:num>
  <w:num w:numId="7">
    <w:abstractNumId w:val="26"/>
  </w:num>
  <w:num w:numId="8">
    <w:abstractNumId w:val="15"/>
  </w:num>
  <w:num w:numId="9">
    <w:abstractNumId w:val="22"/>
  </w:num>
  <w:num w:numId="10">
    <w:abstractNumId w:val="32"/>
  </w:num>
  <w:num w:numId="11">
    <w:abstractNumId w:val="13"/>
  </w:num>
  <w:num w:numId="12">
    <w:abstractNumId w:val="37"/>
  </w:num>
  <w:num w:numId="13">
    <w:abstractNumId w:val="14"/>
  </w:num>
  <w:num w:numId="14">
    <w:abstractNumId w:val="29"/>
  </w:num>
  <w:num w:numId="15">
    <w:abstractNumId w:val="42"/>
  </w:num>
  <w:num w:numId="16">
    <w:abstractNumId w:val="18"/>
  </w:num>
  <w:num w:numId="17">
    <w:abstractNumId w:val="23"/>
  </w:num>
  <w:num w:numId="18">
    <w:abstractNumId w:val="28"/>
  </w:num>
  <w:num w:numId="19">
    <w:abstractNumId w:val="44"/>
  </w:num>
  <w:num w:numId="20">
    <w:abstractNumId w:val="11"/>
  </w:num>
  <w:num w:numId="21">
    <w:abstractNumId w:val="36"/>
  </w:num>
  <w:num w:numId="22">
    <w:abstractNumId w:val="30"/>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0"/>
  </w:num>
  <w:num w:numId="34">
    <w:abstractNumId w:val="38"/>
  </w:num>
  <w:num w:numId="35">
    <w:abstractNumId w:val="31"/>
  </w:num>
  <w:num w:numId="36">
    <w:abstractNumId w:val="16"/>
  </w:num>
  <w:num w:numId="37">
    <w:abstractNumId w:val="20"/>
  </w:num>
  <w:num w:numId="38">
    <w:abstractNumId w:val="33"/>
  </w:num>
  <w:num w:numId="39">
    <w:abstractNumId w:val="39"/>
  </w:num>
  <w:num w:numId="40">
    <w:abstractNumId w:val="17"/>
  </w:num>
  <w:num w:numId="41">
    <w:abstractNumId w:val="40"/>
  </w:num>
  <w:num w:numId="42">
    <w:abstractNumId w:val="24"/>
  </w:num>
  <w:num w:numId="43">
    <w:abstractNumId w:val="27"/>
  </w:num>
  <w:num w:numId="44">
    <w:abstractNumId w:val="41"/>
  </w:num>
  <w:num w:numId="45">
    <w:abstractNumId w:val="43"/>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25"/>
    <w:rsid w:val="000A0E18"/>
    <w:rsid w:val="000A18CF"/>
    <w:rsid w:val="002D27B7"/>
    <w:rsid w:val="002F53D6"/>
    <w:rsid w:val="00325496"/>
    <w:rsid w:val="00393021"/>
    <w:rsid w:val="003A4596"/>
    <w:rsid w:val="003B1AE8"/>
    <w:rsid w:val="004D35CB"/>
    <w:rsid w:val="006744BC"/>
    <w:rsid w:val="006E3C08"/>
    <w:rsid w:val="006F7D0A"/>
    <w:rsid w:val="00715977"/>
    <w:rsid w:val="00724179"/>
    <w:rsid w:val="007F722A"/>
    <w:rsid w:val="00955A25"/>
    <w:rsid w:val="009B0560"/>
    <w:rsid w:val="009C55D5"/>
    <w:rsid w:val="00A03844"/>
    <w:rsid w:val="00A134D7"/>
    <w:rsid w:val="00B61823"/>
    <w:rsid w:val="00B65729"/>
    <w:rsid w:val="00BD2983"/>
    <w:rsid w:val="00BE1E82"/>
    <w:rsid w:val="00CA4D88"/>
    <w:rsid w:val="00CD5EF9"/>
    <w:rsid w:val="00D2327A"/>
    <w:rsid w:val="00D96AF8"/>
    <w:rsid w:val="00E502B9"/>
    <w:rsid w:val="00F06D8F"/>
    <w:rsid w:val="00FF52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6DE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note reference" w:uiPriority="99"/>
    <w:lsdException w:name="List Paragraph" w:uiPriority="34" w:qFormat="1"/>
  </w:latentStyles>
  <w:style w:type="paragraph" w:default="1" w:styleId="Normal">
    <w:name w:val="Normal"/>
    <w:qFormat/>
    <w:rsid w:val="00955A25"/>
    <w:rPr>
      <w:rFonts w:ascii="Times New Roman" w:eastAsia="Times New Roman" w:hAnsi="Times New Roman" w:cs="Times New Roman"/>
    </w:rPr>
  </w:style>
  <w:style w:type="paragraph" w:styleId="Heading1">
    <w:name w:val="heading 1"/>
    <w:basedOn w:val="Normal"/>
    <w:next w:val="Normal"/>
    <w:link w:val="Heading1Char"/>
    <w:rsid w:val="00955A25"/>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rsid w:val="00955A25"/>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955A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A25"/>
    <w:rPr>
      <w:rFonts w:ascii="Calibri" w:eastAsia="Times New Roman" w:hAnsi="Calibri" w:cs="Times New Roman"/>
      <w:b/>
      <w:bCs/>
      <w:kern w:val="32"/>
      <w:sz w:val="32"/>
      <w:szCs w:val="32"/>
    </w:rPr>
  </w:style>
  <w:style w:type="character" w:customStyle="1" w:styleId="Heading2Char">
    <w:name w:val="Heading 2 Char"/>
    <w:basedOn w:val="DefaultParagraphFont"/>
    <w:link w:val="Heading2"/>
    <w:rsid w:val="00955A25"/>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955A25"/>
    <w:rPr>
      <w:rFonts w:asciiTheme="majorHAnsi" w:eastAsiaTheme="majorEastAsia" w:hAnsiTheme="majorHAnsi" w:cstheme="majorBidi"/>
      <w:b/>
      <w:bCs/>
      <w:color w:val="4F81BD" w:themeColor="accent1"/>
    </w:rPr>
  </w:style>
  <w:style w:type="paragraph" w:styleId="Header">
    <w:name w:val="header"/>
    <w:basedOn w:val="Normal"/>
    <w:link w:val="HeaderChar"/>
    <w:rsid w:val="00955A25"/>
    <w:pPr>
      <w:tabs>
        <w:tab w:val="center" w:pos="4320"/>
        <w:tab w:val="right" w:pos="8640"/>
      </w:tabs>
    </w:pPr>
  </w:style>
  <w:style w:type="character" w:customStyle="1" w:styleId="HeaderChar">
    <w:name w:val="Header Char"/>
    <w:basedOn w:val="DefaultParagraphFont"/>
    <w:link w:val="Header"/>
    <w:rsid w:val="00955A25"/>
    <w:rPr>
      <w:rFonts w:ascii="Times New Roman" w:eastAsia="Times New Roman" w:hAnsi="Times New Roman" w:cs="Times New Roman"/>
    </w:rPr>
  </w:style>
  <w:style w:type="paragraph" w:styleId="Footer">
    <w:name w:val="footer"/>
    <w:basedOn w:val="Normal"/>
    <w:link w:val="FooterChar"/>
    <w:rsid w:val="00955A25"/>
    <w:pPr>
      <w:tabs>
        <w:tab w:val="center" w:pos="4320"/>
        <w:tab w:val="right" w:pos="8640"/>
      </w:tabs>
    </w:pPr>
  </w:style>
  <w:style w:type="character" w:customStyle="1" w:styleId="FooterChar">
    <w:name w:val="Footer Char"/>
    <w:basedOn w:val="DefaultParagraphFont"/>
    <w:link w:val="Footer"/>
    <w:rsid w:val="00955A25"/>
    <w:rPr>
      <w:rFonts w:ascii="Times New Roman" w:eastAsia="Times New Roman" w:hAnsi="Times New Roman" w:cs="Times New Roman"/>
    </w:rPr>
  </w:style>
  <w:style w:type="paragraph" w:styleId="NormalWeb">
    <w:name w:val="Normal (Web)"/>
    <w:basedOn w:val="Normal"/>
    <w:rsid w:val="00955A25"/>
    <w:pPr>
      <w:spacing w:before="100" w:beforeAutospacing="1" w:after="100" w:afterAutospacing="1"/>
    </w:pPr>
  </w:style>
  <w:style w:type="paragraph" w:styleId="BalloonText">
    <w:name w:val="Balloon Text"/>
    <w:basedOn w:val="Normal"/>
    <w:link w:val="BalloonTextChar"/>
    <w:semiHidden/>
    <w:rsid w:val="00955A25"/>
    <w:rPr>
      <w:rFonts w:ascii="Tahoma" w:hAnsi="Tahoma" w:cs="Tahoma"/>
      <w:sz w:val="16"/>
      <w:szCs w:val="16"/>
    </w:rPr>
  </w:style>
  <w:style w:type="character" w:customStyle="1" w:styleId="BalloonTextChar">
    <w:name w:val="Balloon Text Char"/>
    <w:basedOn w:val="DefaultParagraphFont"/>
    <w:link w:val="BalloonText"/>
    <w:semiHidden/>
    <w:rsid w:val="00955A25"/>
    <w:rPr>
      <w:rFonts w:ascii="Tahoma" w:eastAsia="Times New Roman" w:hAnsi="Tahoma" w:cs="Tahoma"/>
      <w:sz w:val="16"/>
      <w:szCs w:val="16"/>
    </w:rPr>
  </w:style>
  <w:style w:type="paragraph" w:styleId="BodyText">
    <w:name w:val="Body Text"/>
    <w:basedOn w:val="Normal"/>
    <w:link w:val="BodyTextChar"/>
    <w:rsid w:val="00955A25"/>
    <w:rPr>
      <w:snapToGrid w:val="0"/>
      <w:color w:val="000000"/>
    </w:rPr>
  </w:style>
  <w:style w:type="character" w:customStyle="1" w:styleId="BodyTextChar">
    <w:name w:val="Body Text Char"/>
    <w:basedOn w:val="DefaultParagraphFont"/>
    <w:link w:val="BodyText"/>
    <w:rsid w:val="00955A25"/>
    <w:rPr>
      <w:rFonts w:ascii="Times New Roman" w:eastAsia="Times New Roman" w:hAnsi="Times New Roman" w:cs="Times New Roman"/>
      <w:snapToGrid w:val="0"/>
      <w:color w:val="000000"/>
    </w:rPr>
  </w:style>
  <w:style w:type="paragraph" w:customStyle="1" w:styleId="CharCharChar">
    <w:name w:val="Char Char Char"/>
    <w:basedOn w:val="Normal"/>
    <w:rsid w:val="00955A25"/>
    <w:pPr>
      <w:spacing w:after="160" w:line="240" w:lineRule="exact"/>
      <w:jc w:val="both"/>
    </w:pPr>
    <w:rPr>
      <w:rFonts w:ascii="Verdana" w:hAnsi="Verdana"/>
    </w:rPr>
  </w:style>
  <w:style w:type="paragraph" w:styleId="ListParagraph">
    <w:name w:val="List Paragraph"/>
    <w:basedOn w:val="Normal"/>
    <w:uiPriority w:val="34"/>
    <w:qFormat/>
    <w:rsid w:val="00955A25"/>
    <w:pPr>
      <w:ind w:left="720"/>
    </w:pPr>
  </w:style>
  <w:style w:type="character" w:customStyle="1" w:styleId="DeltaViewInsertion">
    <w:name w:val="DeltaView Insertion"/>
    <w:rsid w:val="00955A25"/>
    <w:rPr>
      <w:b/>
      <w:bCs/>
      <w:color w:val="0000FF"/>
      <w:spacing w:val="0"/>
      <w:u w:val="double"/>
    </w:rPr>
  </w:style>
  <w:style w:type="character" w:styleId="Hyperlink">
    <w:name w:val="Hyperlink"/>
    <w:rsid w:val="00955A25"/>
    <w:rPr>
      <w:color w:val="0000FF"/>
      <w:u w:val="single"/>
    </w:rPr>
  </w:style>
  <w:style w:type="character" w:styleId="PageNumber">
    <w:name w:val="page number"/>
    <w:basedOn w:val="DefaultParagraphFont"/>
    <w:rsid w:val="00955A25"/>
  </w:style>
  <w:style w:type="paragraph" w:customStyle="1" w:styleId="heaading1">
    <w:name w:val="heaading 1"/>
    <w:basedOn w:val="Normal"/>
    <w:rsid w:val="00955A25"/>
    <w:pPr>
      <w:widowControl w:val="0"/>
      <w:autoSpaceDE w:val="0"/>
      <w:autoSpaceDN w:val="0"/>
      <w:adjustRightInd w:val="0"/>
      <w:ind w:left="560" w:hanging="560"/>
      <w:jc w:val="both"/>
    </w:pPr>
    <w:rPr>
      <w:rFonts w:cs="Arial"/>
      <w:b/>
      <w:bCs/>
      <w:szCs w:val="38"/>
      <w:u w:val="single"/>
    </w:rPr>
  </w:style>
  <w:style w:type="paragraph" w:customStyle="1" w:styleId="body">
    <w:name w:val="body"/>
    <w:basedOn w:val="Heading1"/>
    <w:rsid w:val="00955A25"/>
    <w:pPr>
      <w:keepNext w:val="0"/>
      <w:contextualSpacing/>
    </w:pPr>
  </w:style>
  <w:style w:type="paragraph" w:styleId="TOCHeading">
    <w:name w:val="TOC Heading"/>
    <w:basedOn w:val="Heading1"/>
    <w:next w:val="Normal"/>
    <w:uiPriority w:val="39"/>
    <w:unhideWhenUsed/>
    <w:qFormat/>
    <w:rsid w:val="00955A2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955A25"/>
    <w:pPr>
      <w:spacing w:before="120"/>
    </w:pPr>
    <w:rPr>
      <w:rFonts w:asciiTheme="minorHAnsi" w:hAnsiTheme="minorHAnsi"/>
      <w:b/>
    </w:rPr>
  </w:style>
  <w:style w:type="paragraph" w:styleId="TOC2">
    <w:name w:val="toc 2"/>
    <w:basedOn w:val="Normal"/>
    <w:next w:val="Normal"/>
    <w:autoRedefine/>
    <w:uiPriority w:val="39"/>
    <w:rsid w:val="00955A25"/>
    <w:pPr>
      <w:ind w:left="200"/>
    </w:pPr>
    <w:rPr>
      <w:rFonts w:asciiTheme="minorHAnsi" w:hAnsiTheme="minorHAnsi"/>
      <w:b/>
      <w:sz w:val="22"/>
      <w:szCs w:val="22"/>
    </w:rPr>
  </w:style>
  <w:style w:type="paragraph" w:styleId="TOC3">
    <w:name w:val="toc 3"/>
    <w:basedOn w:val="Normal"/>
    <w:next w:val="Normal"/>
    <w:autoRedefine/>
    <w:uiPriority w:val="39"/>
    <w:rsid w:val="00955A25"/>
    <w:pPr>
      <w:ind w:left="400"/>
    </w:pPr>
    <w:rPr>
      <w:rFonts w:asciiTheme="minorHAnsi" w:hAnsiTheme="minorHAnsi"/>
      <w:sz w:val="22"/>
      <w:szCs w:val="22"/>
    </w:rPr>
  </w:style>
  <w:style w:type="paragraph" w:styleId="TOC4">
    <w:name w:val="toc 4"/>
    <w:basedOn w:val="Normal"/>
    <w:next w:val="Normal"/>
    <w:autoRedefine/>
    <w:uiPriority w:val="39"/>
    <w:rsid w:val="00955A25"/>
    <w:pPr>
      <w:ind w:left="600"/>
    </w:pPr>
    <w:rPr>
      <w:rFonts w:asciiTheme="minorHAnsi" w:hAnsiTheme="minorHAnsi"/>
    </w:rPr>
  </w:style>
  <w:style w:type="paragraph" w:styleId="TOC5">
    <w:name w:val="toc 5"/>
    <w:basedOn w:val="Normal"/>
    <w:next w:val="Normal"/>
    <w:autoRedefine/>
    <w:uiPriority w:val="39"/>
    <w:rsid w:val="00955A25"/>
    <w:pPr>
      <w:ind w:left="800"/>
    </w:pPr>
    <w:rPr>
      <w:rFonts w:asciiTheme="minorHAnsi" w:hAnsiTheme="minorHAnsi"/>
    </w:rPr>
  </w:style>
  <w:style w:type="paragraph" w:styleId="TOC6">
    <w:name w:val="toc 6"/>
    <w:basedOn w:val="Normal"/>
    <w:next w:val="Normal"/>
    <w:autoRedefine/>
    <w:uiPriority w:val="39"/>
    <w:rsid w:val="00955A25"/>
    <w:pPr>
      <w:ind w:left="1000"/>
    </w:pPr>
    <w:rPr>
      <w:rFonts w:asciiTheme="minorHAnsi" w:hAnsiTheme="minorHAnsi"/>
    </w:rPr>
  </w:style>
  <w:style w:type="paragraph" w:styleId="TOC7">
    <w:name w:val="toc 7"/>
    <w:basedOn w:val="Normal"/>
    <w:next w:val="Normal"/>
    <w:autoRedefine/>
    <w:uiPriority w:val="39"/>
    <w:rsid w:val="00955A25"/>
    <w:pPr>
      <w:ind w:left="1200"/>
    </w:pPr>
    <w:rPr>
      <w:rFonts w:asciiTheme="minorHAnsi" w:hAnsiTheme="minorHAnsi"/>
    </w:rPr>
  </w:style>
  <w:style w:type="paragraph" w:styleId="TOC8">
    <w:name w:val="toc 8"/>
    <w:basedOn w:val="Normal"/>
    <w:next w:val="Normal"/>
    <w:autoRedefine/>
    <w:uiPriority w:val="39"/>
    <w:rsid w:val="00955A25"/>
    <w:pPr>
      <w:ind w:left="1400"/>
    </w:pPr>
    <w:rPr>
      <w:rFonts w:asciiTheme="minorHAnsi" w:hAnsiTheme="minorHAnsi"/>
    </w:rPr>
  </w:style>
  <w:style w:type="paragraph" w:styleId="TOC9">
    <w:name w:val="toc 9"/>
    <w:basedOn w:val="Normal"/>
    <w:next w:val="Normal"/>
    <w:autoRedefine/>
    <w:uiPriority w:val="39"/>
    <w:rsid w:val="00955A25"/>
    <w:pPr>
      <w:ind w:left="1600"/>
    </w:pPr>
    <w:rPr>
      <w:rFonts w:asciiTheme="minorHAnsi" w:hAnsiTheme="minorHAnsi"/>
    </w:rPr>
  </w:style>
  <w:style w:type="paragraph" w:styleId="FootnoteText">
    <w:name w:val="footnote text"/>
    <w:basedOn w:val="Normal"/>
    <w:link w:val="FootnoteTextChar"/>
    <w:uiPriority w:val="99"/>
    <w:unhideWhenUsed/>
    <w:rsid w:val="00F06D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06D8F"/>
    <w:rPr>
      <w:sz w:val="20"/>
      <w:szCs w:val="20"/>
    </w:rPr>
  </w:style>
  <w:style w:type="character" w:styleId="FootnoteReference">
    <w:name w:val="footnote reference"/>
    <w:basedOn w:val="DefaultParagraphFont"/>
    <w:uiPriority w:val="99"/>
    <w:unhideWhenUsed/>
    <w:rsid w:val="00F06D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note reference" w:uiPriority="99"/>
    <w:lsdException w:name="List Paragraph" w:uiPriority="34" w:qFormat="1"/>
  </w:latentStyles>
  <w:style w:type="paragraph" w:default="1" w:styleId="Normal">
    <w:name w:val="Normal"/>
    <w:qFormat/>
    <w:rsid w:val="00955A25"/>
    <w:rPr>
      <w:rFonts w:ascii="Times New Roman" w:eastAsia="Times New Roman" w:hAnsi="Times New Roman" w:cs="Times New Roman"/>
    </w:rPr>
  </w:style>
  <w:style w:type="paragraph" w:styleId="Heading1">
    <w:name w:val="heading 1"/>
    <w:basedOn w:val="Normal"/>
    <w:next w:val="Normal"/>
    <w:link w:val="Heading1Char"/>
    <w:rsid w:val="00955A25"/>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rsid w:val="00955A25"/>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955A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A25"/>
    <w:rPr>
      <w:rFonts w:ascii="Calibri" w:eastAsia="Times New Roman" w:hAnsi="Calibri" w:cs="Times New Roman"/>
      <w:b/>
      <w:bCs/>
      <w:kern w:val="32"/>
      <w:sz w:val="32"/>
      <w:szCs w:val="32"/>
    </w:rPr>
  </w:style>
  <w:style w:type="character" w:customStyle="1" w:styleId="Heading2Char">
    <w:name w:val="Heading 2 Char"/>
    <w:basedOn w:val="DefaultParagraphFont"/>
    <w:link w:val="Heading2"/>
    <w:rsid w:val="00955A25"/>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955A25"/>
    <w:rPr>
      <w:rFonts w:asciiTheme="majorHAnsi" w:eastAsiaTheme="majorEastAsia" w:hAnsiTheme="majorHAnsi" w:cstheme="majorBidi"/>
      <w:b/>
      <w:bCs/>
      <w:color w:val="4F81BD" w:themeColor="accent1"/>
    </w:rPr>
  </w:style>
  <w:style w:type="paragraph" w:styleId="Header">
    <w:name w:val="header"/>
    <w:basedOn w:val="Normal"/>
    <w:link w:val="HeaderChar"/>
    <w:rsid w:val="00955A25"/>
    <w:pPr>
      <w:tabs>
        <w:tab w:val="center" w:pos="4320"/>
        <w:tab w:val="right" w:pos="8640"/>
      </w:tabs>
    </w:pPr>
  </w:style>
  <w:style w:type="character" w:customStyle="1" w:styleId="HeaderChar">
    <w:name w:val="Header Char"/>
    <w:basedOn w:val="DefaultParagraphFont"/>
    <w:link w:val="Header"/>
    <w:rsid w:val="00955A25"/>
    <w:rPr>
      <w:rFonts w:ascii="Times New Roman" w:eastAsia="Times New Roman" w:hAnsi="Times New Roman" w:cs="Times New Roman"/>
    </w:rPr>
  </w:style>
  <w:style w:type="paragraph" w:styleId="Footer">
    <w:name w:val="footer"/>
    <w:basedOn w:val="Normal"/>
    <w:link w:val="FooterChar"/>
    <w:rsid w:val="00955A25"/>
    <w:pPr>
      <w:tabs>
        <w:tab w:val="center" w:pos="4320"/>
        <w:tab w:val="right" w:pos="8640"/>
      </w:tabs>
    </w:pPr>
  </w:style>
  <w:style w:type="character" w:customStyle="1" w:styleId="FooterChar">
    <w:name w:val="Footer Char"/>
    <w:basedOn w:val="DefaultParagraphFont"/>
    <w:link w:val="Footer"/>
    <w:rsid w:val="00955A25"/>
    <w:rPr>
      <w:rFonts w:ascii="Times New Roman" w:eastAsia="Times New Roman" w:hAnsi="Times New Roman" w:cs="Times New Roman"/>
    </w:rPr>
  </w:style>
  <w:style w:type="paragraph" w:styleId="NormalWeb">
    <w:name w:val="Normal (Web)"/>
    <w:basedOn w:val="Normal"/>
    <w:rsid w:val="00955A25"/>
    <w:pPr>
      <w:spacing w:before="100" w:beforeAutospacing="1" w:after="100" w:afterAutospacing="1"/>
    </w:pPr>
  </w:style>
  <w:style w:type="paragraph" w:styleId="BalloonText">
    <w:name w:val="Balloon Text"/>
    <w:basedOn w:val="Normal"/>
    <w:link w:val="BalloonTextChar"/>
    <w:semiHidden/>
    <w:rsid w:val="00955A25"/>
    <w:rPr>
      <w:rFonts w:ascii="Tahoma" w:hAnsi="Tahoma" w:cs="Tahoma"/>
      <w:sz w:val="16"/>
      <w:szCs w:val="16"/>
    </w:rPr>
  </w:style>
  <w:style w:type="character" w:customStyle="1" w:styleId="BalloonTextChar">
    <w:name w:val="Balloon Text Char"/>
    <w:basedOn w:val="DefaultParagraphFont"/>
    <w:link w:val="BalloonText"/>
    <w:semiHidden/>
    <w:rsid w:val="00955A25"/>
    <w:rPr>
      <w:rFonts w:ascii="Tahoma" w:eastAsia="Times New Roman" w:hAnsi="Tahoma" w:cs="Tahoma"/>
      <w:sz w:val="16"/>
      <w:szCs w:val="16"/>
    </w:rPr>
  </w:style>
  <w:style w:type="paragraph" w:styleId="BodyText">
    <w:name w:val="Body Text"/>
    <w:basedOn w:val="Normal"/>
    <w:link w:val="BodyTextChar"/>
    <w:rsid w:val="00955A25"/>
    <w:rPr>
      <w:snapToGrid w:val="0"/>
      <w:color w:val="000000"/>
    </w:rPr>
  </w:style>
  <w:style w:type="character" w:customStyle="1" w:styleId="BodyTextChar">
    <w:name w:val="Body Text Char"/>
    <w:basedOn w:val="DefaultParagraphFont"/>
    <w:link w:val="BodyText"/>
    <w:rsid w:val="00955A25"/>
    <w:rPr>
      <w:rFonts w:ascii="Times New Roman" w:eastAsia="Times New Roman" w:hAnsi="Times New Roman" w:cs="Times New Roman"/>
      <w:snapToGrid w:val="0"/>
      <w:color w:val="000000"/>
    </w:rPr>
  </w:style>
  <w:style w:type="paragraph" w:customStyle="1" w:styleId="CharCharChar">
    <w:name w:val="Char Char Char"/>
    <w:basedOn w:val="Normal"/>
    <w:rsid w:val="00955A25"/>
    <w:pPr>
      <w:spacing w:after="160" w:line="240" w:lineRule="exact"/>
      <w:jc w:val="both"/>
    </w:pPr>
    <w:rPr>
      <w:rFonts w:ascii="Verdana" w:hAnsi="Verdana"/>
    </w:rPr>
  </w:style>
  <w:style w:type="paragraph" w:styleId="ListParagraph">
    <w:name w:val="List Paragraph"/>
    <w:basedOn w:val="Normal"/>
    <w:uiPriority w:val="34"/>
    <w:qFormat/>
    <w:rsid w:val="00955A25"/>
    <w:pPr>
      <w:ind w:left="720"/>
    </w:pPr>
  </w:style>
  <w:style w:type="character" w:customStyle="1" w:styleId="DeltaViewInsertion">
    <w:name w:val="DeltaView Insertion"/>
    <w:rsid w:val="00955A25"/>
    <w:rPr>
      <w:b/>
      <w:bCs/>
      <w:color w:val="0000FF"/>
      <w:spacing w:val="0"/>
      <w:u w:val="double"/>
    </w:rPr>
  </w:style>
  <w:style w:type="character" w:styleId="Hyperlink">
    <w:name w:val="Hyperlink"/>
    <w:rsid w:val="00955A25"/>
    <w:rPr>
      <w:color w:val="0000FF"/>
      <w:u w:val="single"/>
    </w:rPr>
  </w:style>
  <w:style w:type="character" w:styleId="PageNumber">
    <w:name w:val="page number"/>
    <w:basedOn w:val="DefaultParagraphFont"/>
    <w:rsid w:val="00955A25"/>
  </w:style>
  <w:style w:type="paragraph" w:customStyle="1" w:styleId="heaading1">
    <w:name w:val="heaading 1"/>
    <w:basedOn w:val="Normal"/>
    <w:rsid w:val="00955A25"/>
    <w:pPr>
      <w:widowControl w:val="0"/>
      <w:autoSpaceDE w:val="0"/>
      <w:autoSpaceDN w:val="0"/>
      <w:adjustRightInd w:val="0"/>
      <w:ind w:left="560" w:hanging="560"/>
      <w:jc w:val="both"/>
    </w:pPr>
    <w:rPr>
      <w:rFonts w:cs="Arial"/>
      <w:b/>
      <w:bCs/>
      <w:szCs w:val="38"/>
      <w:u w:val="single"/>
    </w:rPr>
  </w:style>
  <w:style w:type="paragraph" w:customStyle="1" w:styleId="body">
    <w:name w:val="body"/>
    <w:basedOn w:val="Heading1"/>
    <w:rsid w:val="00955A25"/>
    <w:pPr>
      <w:keepNext w:val="0"/>
      <w:contextualSpacing/>
    </w:pPr>
  </w:style>
  <w:style w:type="paragraph" w:styleId="TOCHeading">
    <w:name w:val="TOC Heading"/>
    <w:basedOn w:val="Heading1"/>
    <w:next w:val="Normal"/>
    <w:uiPriority w:val="39"/>
    <w:unhideWhenUsed/>
    <w:qFormat/>
    <w:rsid w:val="00955A2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955A25"/>
    <w:pPr>
      <w:spacing w:before="120"/>
    </w:pPr>
    <w:rPr>
      <w:rFonts w:asciiTheme="minorHAnsi" w:hAnsiTheme="minorHAnsi"/>
      <w:b/>
    </w:rPr>
  </w:style>
  <w:style w:type="paragraph" w:styleId="TOC2">
    <w:name w:val="toc 2"/>
    <w:basedOn w:val="Normal"/>
    <w:next w:val="Normal"/>
    <w:autoRedefine/>
    <w:uiPriority w:val="39"/>
    <w:rsid w:val="00955A25"/>
    <w:pPr>
      <w:ind w:left="200"/>
    </w:pPr>
    <w:rPr>
      <w:rFonts w:asciiTheme="minorHAnsi" w:hAnsiTheme="minorHAnsi"/>
      <w:b/>
      <w:sz w:val="22"/>
      <w:szCs w:val="22"/>
    </w:rPr>
  </w:style>
  <w:style w:type="paragraph" w:styleId="TOC3">
    <w:name w:val="toc 3"/>
    <w:basedOn w:val="Normal"/>
    <w:next w:val="Normal"/>
    <w:autoRedefine/>
    <w:uiPriority w:val="39"/>
    <w:rsid w:val="00955A25"/>
    <w:pPr>
      <w:ind w:left="400"/>
    </w:pPr>
    <w:rPr>
      <w:rFonts w:asciiTheme="minorHAnsi" w:hAnsiTheme="minorHAnsi"/>
      <w:sz w:val="22"/>
      <w:szCs w:val="22"/>
    </w:rPr>
  </w:style>
  <w:style w:type="paragraph" w:styleId="TOC4">
    <w:name w:val="toc 4"/>
    <w:basedOn w:val="Normal"/>
    <w:next w:val="Normal"/>
    <w:autoRedefine/>
    <w:uiPriority w:val="39"/>
    <w:rsid w:val="00955A25"/>
    <w:pPr>
      <w:ind w:left="600"/>
    </w:pPr>
    <w:rPr>
      <w:rFonts w:asciiTheme="minorHAnsi" w:hAnsiTheme="minorHAnsi"/>
    </w:rPr>
  </w:style>
  <w:style w:type="paragraph" w:styleId="TOC5">
    <w:name w:val="toc 5"/>
    <w:basedOn w:val="Normal"/>
    <w:next w:val="Normal"/>
    <w:autoRedefine/>
    <w:uiPriority w:val="39"/>
    <w:rsid w:val="00955A25"/>
    <w:pPr>
      <w:ind w:left="800"/>
    </w:pPr>
    <w:rPr>
      <w:rFonts w:asciiTheme="minorHAnsi" w:hAnsiTheme="minorHAnsi"/>
    </w:rPr>
  </w:style>
  <w:style w:type="paragraph" w:styleId="TOC6">
    <w:name w:val="toc 6"/>
    <w:basedOn w:val="Normal"/>
    <w:next w:val="Normal"/>
    <w:autoRedefine/>
    <w:uiPriority w:val="39"/>
    <w:rsid w:val="00955A25"/>
    <w:pPr>
      <w:ind w:left="1000"/>
    </w:pPr>
    <w:rPr>
      <w:rFonts w:asciiTheme="minorHAnsi" w:hAnsiTheme="minorHAnsi"/>
    </w:rPr>
  </w:style>
  <w:style w:type="paragraph" w:styleId="TOC7">
    <w:name w:val="toc 7"/>
    <w:basedOn w:val="Normal"/>
    <w:next w:val="Normal"/>
    <w:autoRedefine/>
    <w:uiPriority w:val="39"/>
    <w:rsid w:val="00955A25"/>
    <w:pPr>
      <w:ind w:left="1200"/>
    </w:pPr>
    <w:rPr>
      <w:rFonts w:asciiTheme="minorHAnsi" w:hAnsiTheme="minorHAnsi"/>
    </w:rPr>
  </w:style>
  <w:style w:type="paragraph" w:styleId="TOC8">
    <w:name w:val="toc 8"/>
    <w:basedOn w:val="Normal"/>
    <w:next w:val="Normal"/>
    <w:autoRedefine/>
    <w:uiPriority w:val="39"/>
    <w:rsid w:val="00955A25"/>
    <w:pPr>
      <w:ind w:left="1400"/>
    </w:pPr>
    <w:rPr>
      <w:rFonts w:asciiTheme="minorHAnsi" w:hAnsiTheme="minorHAnsi"/>
    </w:rPr>
  </w:style>
  <w:style w:type="paragraph" w:styleId="TOC9">
    <w:name w:val="toc 9"/>
    <w:basedOn w:val="Normal"/>
    <w:next w:val="Normal"/>
    <w:autoRedefine/>
    <w:uiPriority w:val="39"/>
    <w:rsid w:val="00955A25"/>
    <w:pPr>
      <w:ind w:left="1600"/>
    </w:pPr>
    <w:rPr>
      <w:rFonts w:asciiTheme="minorHAnsi" w:hAnsiTheme="minorHAnsi"/>
    </w:rPr>
  </w:style>
  <w:style w:type="paragraph" w:styleId="FootnoteText">
    <w:name w:val="footnote text"/>
    <w:basedOn w:val="Normal"/>
    <w:link w:val="FootnoteTextChar"/>
    <w:uiPriority w:val="99"/>
    <w:unhideWhenUsed/>
    <w:rsid w:val="00F06D8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06D8F"/>
    <w:rPr>
      <w:sz w:val="20"/>
      <w:szCs w:val="20"/>
    </w:rPr>
  </w:style>
  <w:style w:type="character" w:styleId="FootnoteReference">
    <w:name w:val="footnote reference"/>
    <w:basedOn w:val="DefaultParagraphFont"/>
    <w:uiPriority w:val="99"/>
    <w:unhideWhenUsed/>
    <w:rsid w:val="00F06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1866</Words>
  <Characters>10638</Characters>
  <Application>Microsoft Macintosh Word</Application>
  <DocSecurity>0</DocSecurity>
  <Lines>88</Lines>
  <Paragraphs>24</Paragraphs>
  <ScaleCrop>false</ScaleCrop>
  <Company>Minds + Machines</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Levy</dc:creator>
  <cp:keywords/>
  <cp:lastModifiedBy>Reg Levy</cp:lastModifiedBy>
  <cp:revision>3</cp:revision>
  <cp:lastPrinted>2012-05-21T20:36:00Z</cp:lastPrinted>
  <dcterms:created xsi:type="dcterms:W3CDTF">2014-03-11T18:15:00Z</dcterms:created>
  <dcterms:modified xsi:type="dcterms:W3CDTF">2014-03-11T18:19:00Z</dcterms:modified>
</cp:coreProperties>
</file>