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s A"/>
      </w:pPr>
      <w:r>
        <w:rPr>
          <w:rStyle w:val="page number"/>
          <w:rFonts w:ascii="Arial" w:hAnsi="Arial"/>
          <w:b w:val="1"/>
          <w:bCs w:val="1"/>
          <w:color w:val="444444"/>
          <w:sz w:val="22"/>
          <w:szCs w:val="22"/>
          <w:u w:color="444444"/>
          <w:shd w:val="clear" w:color="auto" w:fill="ffffff"/>
          <w:rtl w:val="0"/>
        </w:rPr>
        <w:t>.CAM Sunrise Policy</w:t>
      </w:r>
    </w:p>
    <w:p>
      <w:pPr>
        <w:pStyle w:val="Corps A"/>
        <w:numPr>
          <w:ilvl w:val="0"/>
          <w:numId w:val="2"/>
        </w:numPr>
        <w:shd w:val="clear" w:color="auto" w:fill="ffffff"/>
        <w:bidi w:val="0"/>
        <w:spacing w:before="100" w:after="100" w:line="300" w:lineRule="atLeast"/>
        <w:ind w:right="150"/>
        <w:jc w:val="left"/>
        <w:rPr>
          <w:rFonts w:ascii="Arial" w:hAnsi="Arial"/>
          <w:color w:val="444444"/>
          <w:sz w:val="22"/>
          <w:szCs w:val="22"/>
          <w:rtl w:val="0"/>
          <w:lang w:val="en-US"/>
        </w:rPr>
      </w:pPr>
      <w:r>
        <w:rPr>
          <w:rStyle w:val="page number"/>
          <w:rFonts w:ascii="Arial" w:hAnsi="Arial"/>
          <w:color w:val="444444"/>
          <w:sz w:val="22"/>
          <w:szCs w:val="22"/>
          <w:u w:color="444444"/>
          <w:rtl w:val="0"/>
          <w:lang w:val="en-US"/>
        </w:rPr>
        <w:t xml:space="preserve">Sunrise Period is an initial registration period, intended to protect trademark owners, which precedes the general registration period. The </w:t>
      </w:r>
      <w:r>
        <w:rPr>
          <w:rStyle w:val="page number"/>
          <w:rFonts w:ascii="Arial" w:hAnsi="Arial" w:hint="default"/>
          <w:color w:val="444444"/>
          <w:sz w:val="22"/>
          <w:szCs w:val="22"/>
          <w:u w:color="444444"/>
          <w:rtl w:val="0"/>
          <w:lang w:val="en-US"/>
        </w:rPr>
        <w:t>“</w:t>
      </w:r>
      <w:r>
        <w:rPr>
          <w:rStyle w:val="page number"/>
          <w:rFonts w:ascii="Arial" w:hAnsi="Arial"/>
          <w:color w:val="444444"/>
          <w:sz w:val="22"/>
          <w:szCs w:val="22"/>
          <w:u w:color="444444"/>
          <w:rtl w:val="0"/>
          <w:lang w:val="nl-NL"/>
        </w:rPr>
        <w:t>end date</w:t>
      </w:r>
      <w:r>
        <w:rPr>
          <w:rStyle w:val="page number"/>
          <w:rFonts w:ascii="Arial" w:hAnsi="Arial" w:hint="default"/>
          <w:color w:val="444444"/>
          <w:sz w:val="22"/>
          <w:szCs w:val="22"/>
          <w:u w:color="444444"/>
          <w:rtl w:val="0"/>
          <w:lang w:val="en-US"/>
        </w:rPr>
        <w:t xml:space="preserve">” </w:t>
      </w:r>
      <w:r>
        <w:rPr>
          <w:rStyle w:val="page number"/>
          <w:rFonts w:ascii="Arial" w:hAnsi="Arial"/>
          <w:color w:val="444444"/>
          <w:sz w:val="22"/>
          <w:szCs w:val="22"/>
          <w:u w:color="444444"/>
          <w:rtl w:val="0"/>
          <w:lang w:val="en-US"/>
        </w:rPr>
        <w:t>Sunrise Period is intended to begin on</w:t>
      </w:r>
      <w:r>
        <w:rPr>
          <w:rStyle w:val="page number"/>
          <w:rFonts w:ascii="Arial" w:hAnsi="Arial"/>
          <w:color w:val="444444"/>
          <w:sz w:val="22"/>
          <w:szCs w:val="22"/>
          <w:u w:color="444444"/>
          <w:rtl w:val="0"/>
          <w:lang w:val="fr-FR"/>
        </w:rPr>
        <w:t xml:space="preserve"> </w:t>
      </w:r>
      <w:r>
        <w:rPr>
          <w:rStyle w:val="page number"/>
          <w:rFonts w:ascii="Arial" w:hAnsi="Arial"/>
          <w:color w:val="444444"/>
          <w:sz w:val="22"/>
          <w:szCs w:val="22"/>
          <w:u w:color="444444"/>
          <w:rtl w:val="0"/>
          <w:lang w:val="en-US"/>
        </w:rPr>
        <w:t>October the 6th, 2016 and end December the 5th, 2016. An application is considered a Sunrise application if it meets the Application Criteria described below.</w:t>
      </w:r>
    </w:p>
    <w:p>
      <w:pPr>
        <w:pStyle w:val="Corps A"/>
        <w:numPr>
          <w:ilvl w:val="0"/>
          <w:numId w:val="2"/>
        </w:numPr>
        <w:shd w:val="clear" w:color="auto" w:fill="ffffff"/>
        <w:bidi w:val="0"/>
        <w:spacing w:before="100" w:after="100" w:line="300" w:lineRule="atLeast"/>
        <w:ind w:right="150"/>
        <w:jc w:val="left"/>
        <w:rPr>
          <w:rFonts w:ascii="Arial" w:hAnsi="Arial"/>
          <w:color w:val="444444"/>
          <w:sz w:val="22"/>
          <w:szCs w:val="22"/>
          <w:rtl w:val="0"/>
          <w:lang w:val="en-US"/>
        </w:rPr>
      </w:pPr>
      <w:r>
        <w:rPr>
          <w:rStyle w:val="page number"/>
          <w:rFonts w:ascii="Arial" w:hAnsi="Arial"/>
          <w:color w:val="444444"/>
          <w:sz w:val="22"/>
          <w:szCs w:val="22"/>
          <w:u w:color="444444"/>
          <w:rtl w:val="0"/>
          <w:lang w:val="en-US"/>
        </w:rPr>
        <w:t>Application Criteria:  Sunrise applications must be on behalf of qualified trademark owners of marks in the Trademark Clearinghouse (</w:t>
      </w:r>
      <w:r>
        <w:rPr>
          <w:rStyle w:val="page number"/>
          <w:rFonts w:ascii="Arial" w:hAnsi="Arial" w:hint="default"/>
          <w:color w:val="444444"/>
          <w:sz w:val="22"/>
          <w:szCs w:val="22"/>
          <w:u w:color="444444"/>
          <w:rtl w:val="0"/>
          <w:lang w:val="en-US"/>
        </w:rPr>
        <w:t>“</w:t>
      </w:r>
      <w:r>
        <w:rPr>
          <w:rStyle w:val="page number"/>
          <w:rFonts w:ascii="Arial" w:hAnsi="Arial"/>
          <w:color w:val="444444"/>
          <w:sz w:val="22"/>
          <w:szCs w:val="22"/>
          <w:u w:color="444444"/>
          <w:rtl w:val="0"/>
          <w:lang w:val="de-DE"/>
        </w:rPr>
        <w:t>TMCH</w:t>
      </w:r>
      <w:r>
        <w:rPr>
          <w:rStyle w:val="page number"/>
          <w:rFonts w:ascii="Arial" w:hAnsi="Arial" w:hint="default"/>
          <w:color w:val="444444"/>
          <w:sz w:val="22"/>
          <w:szCs w:val="22"/>
          <w:u w:color="444444"/>
          <w:rtl w:val="0"/>
          <w:lang w:val="en-US"/>
        </w:rPr>
        <w:t>”</w:t>
      </w:r>
      <w:r>
        <w:rPr>
          <w:rStyle w:val="page number"/>
          <w:rFonts w:ascii="Arial" w:hAnsi="Arial"/>
          <w:color w:val="444444"/>
          <w:sz w:val="22"/>
          <w:szCs w:val="22"/>
          <w:u w:color="444444"/>
          <w:rtl w:val="0"/>
          <w:lang w:val="en-US"/>
        </w:rPr>
        <w:t>).  Sunrise applications must be for second-level domains that are an identical match to the applicant</w:t>
      </w:r>
      <w:r>
        <w:rPr>
          <w:rStyle w:val="page number"/>
          <w:rFonts w:ascii="Arial" w:hAnsi="Arial" w:hint="default"/>
          <w:color w:val="444444"/>
          <w:sz w:val="22"/>
          <w:szCs w:val="22"/>
          <w:u w:color="444444"/>
          <w:rtl w:val="0"/>
          <w:lang w:val="en-US"/>
        </w:rPr>
        <w:t>’</w:t>
      </w:r>
      <w:r>
        <w:rPr>
          <w:rStyle w:val="page number"/>
          <w:rFonts w:ascii="Arial" w:hAnsi="Arial"/>
          <w:color w:val="444444"/>
          <w:sz w:val="22"/>
          <w:szCs w:val="22"/>
          <w:u w:color="444444"/>
          <w:rtl w:val="0"/>
          <w:lang w:val="en-US"/>
        </w:rPr>
        <w:t>s listed trademarks, and must be accompanied by a valid TMCH Signed Mark Data (</w:t>
      </w:r>
      <w:r>
        <w:rPr>
          <w:rStyle w:val="page number"/>
          <w:rFonts w:ascii="Arial" w:hAnsi="Arial" w:hint="default"/>
          <w:color w:val="444444"/>
          <w:sz w:val="22"/>
          <w:szCs w:val="22"/>
          <w:u w:color="444444"/>
          <w:rtl w:val="0"/>
          <w:lang w:val="en-US"/>
        </w:rPr>
        <w:t>“</w:t>
      </w:r>
      <w:r>
        <w:rPr>
          <w:rStyle w:val="page number"/>
          <w:rFonts w:ascii="Arial" w:hAnsi="Arial"/>
          <w:color w:val="444444"/>
          <w:sz w:val="22"/>
          <w:szCs w:val="22"/>
          <w:u w:color="444444"/>
          <w:rtl w:val="0"/>
        </w:rPr>
        <w:t>SMD</w:t>
      </w:r>
      <w:r>
        <w:rPr>
          <w:rStyle w:val="page number"/>
          <w:rFonts w:ascii="Arial" w:hAnsi="Arial" w:hint="default"/>
          <w:color w:val="444444"/>
          <w:sz w:val="22"/>
          <w:szCs w:val="22"/>
          <w:u w:color="444444"/>
          <w:rtl w:val="0"/>
          <w:lang w:val="en-US"/>
        </w:rPr>
        <w:t>”</w:t>
      </w:r>
      <w:r>
        <w:rPr>
          <w:rStyle w:val="page number"/>
          <w:rFonts w:ascii="Arial" w:hAnsi="Arial"/>
          <w:color w:val="444444"/>
          <w:sz w:val="22"/>
          <w:szCs w:val="22"/>
          <w:u w:color="444444"/>
          <w:rtl w:val="0"/>
          <w:lang w:val="it-IT"/>
        </w:rPr>
        <w:t>) file.</w:t>
      </w:r>
    </w:p>
    <w:p>
      <w:pPr>
        <w:pStyle w:val="Corps A"/>
        <w:numPr>
          <w:ilvl w:val="0"/>
          <w:numId w:val="2"/>
        </w:numPr>
        <w:shd w:val="clear" w:color="auto" w:fill="ffffff"/>
        <w:bidi w:val="0"/>
        <w:spacing w:before="100" w:after="100" w:line="300" w:lineRule="atLeast"/>
        <w:ind w:right="150"/>
        <w:jc w:val="left"/>
        <w:rPr>
          <w:rFonts w:ascii="Arial" w:hAnsi="Arial"/>
          <w:color w:val="444444"/>
          <w:sz w:val="22"/>
          <w:szCs w:val="22"/>
          <w:rtl w:val="0"/>
          <w:lang w:val="en-US"/>
        </w:rPr>
      </w:pPr>
      <w:r>
        <w:rPr>
          <w:rStyle w:val="page number"/>
          <w:rFonts w:ascii="Arial" w:hAnsi="Arial"/>
          <w:color w:val="444444"/>
          <w:sz w:val="22"/>
          <w:szCs w:val="22"/>
          <w:u w:color="444444"/>
          <w:rtl w:val="0"/>
          <w:lang w:val="en-US"/>
        </w:rPr>
        <w:t>Use of Brand</w:t>
      </w:r>
    </w:p>
    <w:p>
      <w:pPr>
        <w:pStyle w:val="Corps A"/>
        <w:numPr>
          <w:ilvl w:val="1"/>
          <w:numId w:val="2"/>
        </w:numPr>
        <w:shd w:val="clear" w:color="auto" w:fill="ffffff"/>
        <w:bidi w:val="0"/>
        <w:spacing w:before="100" w:after="100" w:line="300" w:lineRule="atLeast"/>
        <w:ind w:right="300"/>
        <w:jc w:val="left"/>
        <w:rPr>
          <w:rFonts w:ascii="Arial" w:hAnsi="Arial"/>
          <w:color w:val="444444"/>
          <w:sz w:val="22"/>
          <w:szCs w:val="22"/>
          <w:rtl w:val="0"/>
          <w:lang w:val="en-US"/>
        </w:rPr>
      </w:pPr>
      <w:r>
        <w:rPr>
          <w:rStyle w:val="page number"/>
          <w:rFonts w:ascii="Arial" w:hAnsi="Arial"/>
          <w:color w:val="444444"/>
          <w:sz w:val="22"/>
          <w:szCs w:val="22"/>
          <w:u w:color="444444"/>
          <w:rtl w:val="0"/>
          <w:lang w:val="en-US"/>
        </w:rPr>
        <w:t>Registry Operator may review Registrar communications related to Sunrise applications. Registry Operator reserves all rights in its intellectual property, and will only permit registrars to use its proprietary brands, graphic symbols, logos, icons or other images if they are provided by or approved in writing by Registry Operator. At times, Registry Operator may specifically request that certain brand features or key phrases be used in conjunction with the top-level domain when presented on registrar web pages, email alerts, auction notices, and other communications used for processing applications, to provide confidence to registrants that such communications come from an authorized registrar of the TLD.</w:t>
      </w:r>
    </w:p>
    <w:p>
      <w:pPr>
        <w:pStyle w:val="Corps A"/>
        <w:numPr>
          <w:ilvl w:val="0"/>
          <w:numId w:val="2"/>
        </w:numPr>
        <w:shd w:val="clear" w:color="auto" w:fill="ffffff"/>
        <w:bidi w:val="0"/>
        <w:spacing w:before="100" w:after="100" w:line="300" w:lineRule="atLeast"/>
        <w:ind w:right="150"/>
        <w:jc w:val="left"/>
        <w:rPr>
          <w:rFonts w:ascii="Arial" w:hAnsi="Arial"/>
          <w:color w:val="444444"/>
          <w:sz w:val="22"/>
          <w:szCs w:val="22"/>
          <w:rtl w:val="0"/>
          <w:lang w:val="en-US"/>
        </w:rPr>
      </w:pPr>
      <w:r>
        <w:rPr>
          <w:rStyle w:val="page number"/>
          <w:rFonts w:ascii="Arial" w:hAnsi="Arial"/>
          <w:color w:val="444444"/>
          <w:sz w:val="22"/>
          <w:szCs w:val="22"/>
          <w:u w:color="444444"/>
          <w:rtl w:val="0"/>
          <w:lang w:val="en-US"/>
        </w:rPr>
        <w:t>Application Processing</w:t>
      </w:r>
    </w:p>
    <w:p>
      <w:pPr>
        <w:pStyle w:val="Corps A"/>
        <w:numPr>
          <w:ilvl w:val="1"/>
          <w:numId w:val="2"/>
        </w:numPr>
        <w:shd w:val="clear" w:color="auto" w:fill="ffffff"/>
        <w:bidi w:val="0"/>
        <w:spacing w:before="100" w:after="100" w:line="300" w:lineRule="atLeast"/>
        <w:ind w:right="300"/>
        <w:jc w:val="left"/>
        <w:rPr>
          <w:rFonts w:ascii="Arial" w:hAnsi="Arial"/>
          <w:color w:val="444444"/>
          <w:sz w:val="22"/>
          <w:szCs w:val="22"/>
          <w:rtl w:val="0"/>
          <w:lang w:val="en-US"/>
        </w:rPr>
      </w:pPr>
      <w:r>
        <w:rPr>
          <w:rStyle w:val="page number"/>
          <w:rFonts w:ascii="Arial" w:hAnsi="Arial"/>
          <w:color w:val="444444"/>
          <w:sz w:val="22"/>
          <w:szCs w:val="22"/>
          <w:u w:color="444444"/>
          <w:rtl w:val="0"/>
          <w:lang w:val="en-US"/>
        </w:rPr>
        <w:t xml:space="preserve">If, during the Sunrise Period, the Registry Operator receives multiple qualified Sunrise applications for a second-level domain, then those applicants will enter a contention resolution process (for example an auction) to allocate the second-level domain. </w:t>
      </w:r>
    </w:p>
    <w:p>
      <w:pPr>
        <w:pStyle w:val="Corps A"/>
        <w:numPr>
          <w:ilvl w:val="0"/>
          <w:numId w:val="2"/>
        </w:numPr>
        <w:shd w:val="clear" w:color="auto" w:fill="ffffff"/>
        <w:bidi w:val="0"/>
        <w:spacing w:before="100" w:after="100" w:line="300" w:lineRule="atLeast"/>
        <w:ind w:right="150"/>
        <w:jc w:val="left"/>
        <w:rPr>
          <w:rFonts w:ascii="Arial" w:hAnsi="Arial"/>
          <w:color w:val="444444"/>
          <w:sz w:val="22"/>
          <w:szCs w:val="22"/>
          <w:rtl w:val="0"/>
          <w:lang w:val="en-US"/>
        </w:rPr>
      </w:pPr>
      <w:r>
        <w:rPr>
          <w:rStyle w:val="page number"/>
          <w:rFonts w:ascii="Arial" w:hAnsi="Arial"/>
          <w:color w:val="444444"/>
          <w:sz w:val="22"/>
          <w:szCs w:val="22"/>
          <w:u w:color="444444"/>
          <w:rtl w:val="0"/>
          <w:lang w:val="en-US"/>
        </w:rPr>
        <w:t>Contention Resolution</w:t>
      </w:r>
    </w:p>
    <w:p>
      <w:pPr>
        <w:pStyle w:val="Corps A"/>
        <w:numPr>
          <w:ilvl w:val="1"/>
          <w:numId w:val="2"/>
        </w:numPr>
        <w:shd w:val="clear" w:color="auto" w:fill="ffffff"/>
        <w:bidi w:val="0"/>
        <w:spacing w:before="100" w:after="100" w:line="300" w:lineRule="atLeast"/>
        <w:ind w:right="300"/>
        <w:jc w:val="left"/>
        <w:rPr>
          <w:rFonts w:ascii="Arial" w:hAnsi="Arial"/>
          <w:color w:val="444444"/>
          <w:sz w:val="22"/>
          <w:szCs w:val="22"/>
          <w:rtl w:val="0"/>
          <w:lang w:val="en-US"/>
        </w:rPr>
      </w:pPr>
      <w:r>
        <w:rPr>
          <w:rStyle w:val="page number"/>
          <w:rFonts w:ascii="Arial" w:hAnsi="Arial"/>
          <w:color w:val="444444"/>
          <w:sz w:val="22"/>
          <w:szCs w:val="22"/>
          <w:u w:color="444444"/>
          <w:rtl w:val="0"/>
          <w:lang w:val="en-US"/>
        </w:rPr>
        <w:t>If a second-level domain goes into contention, all applicants will be contacted and invited to the contention resolution process directly.</w:t>
      </w:r>
    </w:p>
    <w:p>
      <w:pPr>
        <w:pStyle w:val="Corps A"/>
        <w:numPr>
          <w:ilvl w:val="1"/>
          <w:numId w:val="2"/>
        </w:numPr>
        <w:shd w:val="clear" w:color="auto" w:fill="ffffff"/>
        <w:bidi w:val="0"/>
        <w:spacing w:before="100" w:after="100" w:line="300" w:lineRule="atLeast"/>
        <w:ind w:right="300"/>
        <w:jc w:val="left"/>
        <w:rPr>
          <w:rFonts w:ascii="Arial" w:hAnsi="Arial"/>
          <w:color w:val="444444"/>
          <w:sz w:val="22"/>
          <w:szCs w:val="22"/>
          <w:rtl w:val="0"/>
          <w:lang w:val="en-US"/>
        </w:rPr>
      </w:pPr>
      <w:r>
        <w:rPr>
          <w:rStyle w:val="page number"/>
          <w:rFonts w:ascii="Arial" w:hAnsi="Arial"/>
          <w:color w:val="444444"/>
          <w:sz w:val="22"/>
          <w:szCs w:val="22"/>
          <w:u w:color="444444"/>
          <w:rtl w:val="0"/>
          <w:lang w:val="en-US"/>
        </w:rPr>
        <w:t>The rules of the contention resolution process will be made available to all applicants before the process to allocate second-level domains begins.</w:t>
      </w:r>
    </w:p>
    <w:p>
      <w:pPr>
        <w:pStyle w:val="Corps A"/>
        <w:numPr>
          <w:ilvl w:val="1"/>
          <w:numId w:val="2"/>
        </w:numPr>
        <w:shd w:val="clear" w:color="auto" w:fill="ffffff"/>
        <w:bidi w:val="0"/>
        <w:spacing w:before="100" w:after="100" w:line="300" w:lineRule="atLeast"/>
        <w:ind w:right="300"/>
        <w:jc w:val="left"/>
        <w:rPr>
          <w:rFonts w:ascii="Arial" w:hAnsi="Arial"/>
          <w:color w:val="444444"/>
          <w:sz w:val="22"/>
          <w:szCs w:val="22"/>
          <w:rtl w:val="0"/>
          <w:lang w:val="en-US"/>
        </w:rPr>
      </w:pPr>
      <w:r>
        <w:rPr>
          <w:rStyle w:val="page number"/>
          <w:rFonts w:ascii="Arial" w:hAnsi="Arial"/>
          <w:color w:val="444444"/>
          <w:sz w:val="22"/>
          <w:szCs w:val="22"/>
          <w:u w:color="444444"/>
          <w:rtl w:val="0"/>
          <w:lang w:val="en-US"/>
        </w:rPr>
        <w:t xml:space="preserve">The winning applicant of the contention resolution process will be allocated the second-level domain as described in the </w:t>
      </w:r>
      <w:r>
        <w:rPr>
          <w:rStyle w:val="page number"/>
          <w:rFonts w:ascii="Arial" w:hAnsi="Arial" w:hint="default"/>
          <w:color w:val="444444"/>
          <w:sz w:val="22"/>
          <w:szCs w:val="22"/>
          <w:u w:color="444444"/>
          <w:rtl w:val="0"/>
          <w:lang w:val="en-US"/>
        </w:rPr>
        <w:t>“</w:t>
      </w:r>
      <w:r>
        <w:rPr>
          <w:rStyle w:val="page number"/>
          <w:rFonts w:ascii="Arial" w:hAnsi="Arial"/>
          <w:color w:val="444444"/>
          <w:sz w:val="22"/>
          <w:szCs w:val="22"/>
          <w:u w:color="444444"/>
          <w:rtl w:val="0"/>
          <w:lang w:val="en-US"/>
        </w:rPr>
        <w:t>Allocation and Registration</w:t>
      </w:r>
      <w:r>
        <w:rPr>
          <w:rStyle w:val="page number"/>
          <w:rFonts w:ascii="Arial" w:hAnsi="Arial" w:hint="default"/>
          <w:color w:val="444444"/>
          <w:sz w:val="22"/>
          <w:szCs w:val="22"/>
          <w:u w:color="444444"/>
          <w:rtl w:val="0"/>
          <w:lang w:val="en-US"/>
        </w:rPr>
        <w:t xml:space="preserve">” </w:t>
      </w:r>
      <w:r>
        <w:rPr>
          <w:rStyle w:val="page number"/>
          <w:rFonts w:ascii="Arial" w:hAnsi="Arial"/>
          <w:color w:val="444444"/>
          <w:sz w:val="22"/>
          <w:szCs w:val="22"/>
          <w:u w:color="444444"/>
          <w:rtl w:val="0"/>
          <w:lang w:val="fr-FR"/>
        </w:rPr>
        <w:t>section.</w:t>
      </w:r>
    </w:p>
    <w:p>
      <w:pPr>
        <w:pStyle w:val="Corps A"/>
        <w:numPr>
          <w:ilvl w:val="1"/>
          <w:numId w:val="2"/>
        </w:numPr>
        <w:shd w:val="clear" w:color="auto" w:fill="ffffff"/>
        <w:bidi w:val="0"/>
        <w:spacing w:before="100" w:after="100" w:line="300" w:lineRule="atLeast"/>
        <w:ind w:right="300"/>
        <w:jc w:val="left"/>
        <w:rPr>
          <w:rFonts w:ascii="Arial" w:hAnsi="Arial"/>
          <w:color w:val="444444"/>
          <w:sz w:val="22"/>
          <w:szCs w:val="22"/>
          <w:rtl w:val="0"/>
          <w:lang w:val="en-US"/>
        </w:rPr>
      </w:pPr>
      <w:r>
        <w:rPr>
          <w:rStyle w:val="page number"/>
          <w:rFonts w:ascii="Arial" w:hAnsi="Arial"/>
          <w:color w:val="444444"/>
          <w:sz w:val="22"/>
          <w:szCs w:val="22"/>
          <w:u w:color="444444"/>
          <w:rtl w:val="0"/>
          <w:lang w:val="en-US"/>
        </w:rPr>
        <w:t>For contentions between Sunrise applicants, if none of the parties participates in the process to the minimum required extent (for example, in an auction, pay the minimum bid), then the second-level domain will not be allocated to any of the Sunrise applicants, and will be treated as if no Sunrise applications were submitted for it.</w:t>
      </w:r>
    </w:p>
    <w:p>
      <w:pPr>
        <w:pStyle w:val="Corps A"/>
        <w:numPr>
          <w:ilvl w:val="0"/>
          <w:numId w:val="2"/>
        </w:numPr>
        <w:shd w:val="clear" w:color="auto" w:fill="ffffff"/>
        <w:bidi w:val="0"/>
        <w:spacing w:before="100" w:after="100" w:line="300" w:lineRule="atLeast"/>
        <w:ind w:right="150"/>
        <w:jc w:val="left"/>
        <w:rPr>
          <w:rFonts w:ascii="Arial" w:hAnsi="Arial"/>
          <w:color w:val="444444"/>
          <w:sz w:val="22"/>
          <w:szCs w:val="22"/>
          <w:rtl w:val="0"/>
          <w:lang w:val="en-US"/>
        </w:rPr>
      </w:pPr>
      <w:r>
        <w:rPr>
          <w:rStyle w:val="page number"/>
          <w:rFonts w:ascii="Arial" w:hAnsi="Arial"/>
          <w:color w:val="444444"/>
          <w:sz w:val="22"/>
          <w:szCs w:val="22"/>
          <w:u w:color="444444"/>
          <w:rtl w:val="0"/>
          <w:lang w:val="en-US"/>
        </w:rPr>
        <w:t>Allocation and Registration</w:t>
      </w:r>
    </w:p>
    <w:p>
      <w:pPr>
        <w:pStyle w:val="Corps A"/>
        <w:numPr>
          <w:ilvl w:val="1"/>
          <w:numId w:val="2"/>
        </w:numPr>
        <w:shd w:val="clear" w:color="auto" w:fill="ffffff"/>
        <w:bidi w:val="0"/>
        <w:spacing w:before="100" w:after="100" w:line="300" w:lineRule="atLeast"/>
        <w:ind w:right="300"/>
        <w:jc w:val="left"/>
        <w:rPr>
          <w:rFonts w:ascii="Arial" w:hAnsi="Arial"/>
          <w:color w:val="444444"/>
          <w:sz w:val="22"/>
          <w:szCs w:val="22"/>
          <w:rtl w:val="0"/>
          <w:lang w:val="en-US"/>
        </w:rPr>
      </w:pPr>
      <w:r>
        <w:rPr>
          <w:rStyle w:val="page number"/>
          <w:rFonts w:ascii="Arial" w:hAnsi="Arial"/>
          <w:color w:val="444444"/>
          <w:sz w:val="22"/>
          <w:szCs w:val="22"/>
          <w:u w:color="444444"/>
          <w:rtl w:val="0"/>
          <w:lang w:val="en-US"/>
        </w:rPr>
        <w:t>Once Registry Operator determines who the final recipient of a second-level domain is, it will register the name to that recipient and charge their sponsoring Registrar both the Sunrise auction price plus the standard initial registration price of the second-level domain, for the entire registration period requested by the applicant.</w:t>
      </w:r>
    </w:p>
    <w:p>
      <w:pPr>
        <w:pStyle w:val="Corps A"/>
        <w:numPr>
          <w:ilvl w:val="0"/>
          <w:numId w:val="2"/>
        </w:numPr>
        <w:shd w:val="clear" w:color="auto" w:fill="ffffff"/>
        <w:bidi w:val="0"/>
        <w:spacing w:before="100" w:after="100" w:line="300" w:lineRule="atLeast"/>
        <w:ind w:right="150"/>
        <w:jc w:val="left"/>
        <w:rPr>
          <w:rFonts w:ascii="Arial" w:hAnsi="Arial"/>
          <w:color w:val="444444"/>
          <w:sz w:val="22"/>
          <w:szCs w:val="22"/>
          <w:rtl w:val="0"/>
          <w:lang w:val="en-US"/>
        </w:rPr>
      </w:pPr>
      <w:r>
        <w:rPr>
          <w:rStyle w:val="page number"/>
          <w:rFonts w:ascii="Arial" w:hAnsi="Arial"/>
          <w:color w:val="444444"/>
          <w:sz w:val="22"/>
          <w:szCs w:val="22"/>
          <w:u w:color="444444"/>
          <w:rtl w:val="0"/>
          <w:lang w:val="en-US"/>
        </w:rPr>
        <w:t>Failure Scenarios</w:t>
      </w:r>
    </w:p>
    <w:p>
      <w:pPr>
        <w:pStyle w:val="Corps A"/>
        <w:numPr>
          <w:ilvl w:val="1"/>
          <w:numId w:val="2"/>
        </w:numPr>
        <w:shd w:val="clear" w:color="auto" w:fill="ffffff"/>
        <w:bidi w:val="0"/>
        <w:spacing w:before="100" w:after="100" w:line="300" w:lineRule="atLeast"/>
        <w:ind w:right="300"/>
        <w:jc w:val="left"/>
        <w:rPr>
          <w:rFonts w:ascii="Arial" w:hAnsi="Arial"/>
          <w:color w:val="444444"/>
          <w:sz w:val="22"/>
          <w:szCs w:val="22"/>
          <w:rtl w:val="0"/>
          <w:lang w:val="en-US"/>
        </w:rPr>
      </w:pPr>
      <w:r>
        <w:rPr>
          <w:rStyle w:val="page number"/>
          <w:rFonts w:ascii="Arial" w:hAnsi="Arial"/>
          <w:color w:val="444444"/>
          <w:sz w:val="22"/>
          <w:szCs w:val="22"/>
          <w:u w:color="444444"/>
          <w:rtl w:val="0"/>
          <w:lang w:val="en-US"/>
        </w:rPr>
        <w:t xml:space="preserve">Domain allocation in the event applicants who are engaged in a contention resolution process do not participate is specified in the </w:t>
      </w:r>
      <w:r>
        <w:rPr>
          <w:rStyle w:val="page number"/>
          <w:rFonts w:ascii="Arial" w:hAnsi="Arial" w:hint="default"/>
          <w:color w:val="444444"/>
          <w:sz w:val="22"/>
          <w:szCs w:val="22"/>
          <w:u w:color="444444"/>
          <w:rtl w:val="0"/>
          <w:lang w:val="en-US"/>
        </w:rPr>
        <w:t>“</w:t>
      </w:r>
      <w:r>
        <w:rPr>
          <w:rStyle w:val="page number"/>
          <w:rFonts w:ascii="Arial" w:hAnsi="Arial"/>
          <w:color w:val="444444"/>
          <w:sz w:val="22"/>
          <w:szCs w:val="22"/>
          <w:u w:color="444444"/>
          <w:rtl w:val="0"/>
          <w:lang w:val="en-US"/>
        </w:rPr>
        <w:t>Contention Resolution</w:t>
      </w:r>
      <w:r>
        <w:rPr>
          <w:rStyle w:val="page number"/>
          <w:rFonts w:ascii="Arial" w:hAnsi="Arial" w:hint="default"/>
          <w:color w:val="444444"/>
          <w:sz w:val="22"/>
          <w:szCs w:val="22"/>
          <w:u w:color="444444"/>
          <w:rtl w:val="0"/>
          <w:lang w:val="en-US"/>
        </w:rPr>
        <w:t xml:space="preserve">” </w:t>
      </w:r>
      <w:r>
        <w:rPr>
          <w:rStyle w:val="page number"/>
          <w:rFonts w:ascii="Arial" w:hAnsi="Arial"/>
          <w:color w:val="444444"/>
          <w:sz w:val="22"/>
          <w:szCs w:val="22"/>
          <w:u w:color="444444"/>
          <w:rtl w:val="0"/>
          <w:lang w:val="fr-FR"/>
        </w:rPr>
        <w:t>section.</w:t>
      </w:r>
    </w:p>
    <w:p>
      <w:pPr>
        <w:pStyle w:val="Corps A"/>
        <w:shd w:val="clear" w:color="auto" w:fill="ffffff"/>
        <w:spacing w:before="100" w:after="100" w:line="300" w:lineRule="atLeast"/>
        <w:ind w:left="1350" w:right="450" w:firstLine="0"/>
      </w:pPr>
    </w:p>
    <w:p>
      <w:pPr>
        <w:pStyle w:val="Corps A"/>
        <w:numPr>
          <w:ilvl w:val="0"/>
          <w:numId w:val="2"/>
        </w:numPr>
        <w:shd w:val="clear" w:color="auto" w:fill="ffffff"/>
        <w:bidi w:val="0"/>
        <w:spacing w:before="100" w:after="100" w:line="300" w:lineRule="atLeast"/>
        <w:ind w:right="150"/>
        <w:jc w:val="left"/>
        <w:rPr>
          <w:rFonts w:ascii="Arial" w:hAnsi="Arial"/>
          <w:color w:val="444444"/>
          <w:sz w:val="22"/>
          <w:szCs w:val="22"/>
          <w:rtl w:val="0"/>
          <w:lang w:val="en-US"/>
        </w:rPr>
      </w:pPr>
      <w:r>
        <w:rPr>
          <w:rStyle w:val="page number"/>
          <w:rFonts w:ascii="Arial" w:hAnsi="Arial"/>
          <w:color w:val="444444"/>
          <w:sz w:val="22"/>
          <w:szCs w:val="22"/>
          <w:u w:color="444444"/>
          <w:rtl w:val="0"/>
          <w:lang w:val="en-US"/>
        </w:rPr>
        <w:t>Sunrise Dispute Resolution Policy ("SDRP")</w:t>
      </w:r>
    </w:p>
    <w:p>
      <w:pPr>
        <w:pStyle w:val="Corps A"/>
        <w:numPr>
          <w:ilvl w:val="1"/>
          <w:numId w:val="2"/>
        </w:numPr>
        <w:shd w:val="clear" w:color="auto" w:fill="ffffff"/>
        <w:bidi w:val="0"/>
        <w:spacing w:before="100" w:after="100" w:line="300" w:lineRule="atLeast"/>
        <w:ind w:right="300"/>
        <w:jc w:val="left"/>
        <w:rPr>
          <w:rFonts w:ascii="Arial" w:hAnsi="Arial"/>
          <w:color w:val="444444"/>
          <w:sz w:val="22"/>
          <w:szCs w:val="22"/>
          <w:rtl w:val="0"/>
          <w:lang w:val="en-US"/>
        </w:rPr>
      </w:pPr>
      <w:r>
        <w:rPr>
          <w:rStyle w:val="page number"/>
          <w:rFonts w:ascii="Arial" w:hAnsi="Arial"/>
          <w:color w:val="444444"/>
          <w:sz w:val="22"/>
          <w:szCs w:val="22"/>
          <w:u w:color="444444"/>
          <w:rtl w:val="0"/>
          <w:lang w:val="en-US"/>
        </w:rPr>
        <w:t>The SDRP will allow challenges to Sunrise Period registrations by third parties for a 10 business day period after acceptance of the registration -- based on any of the following four grounds: (i) at the time the challenged second-level domain was registered, the registrant did not hold a trademark registration of national effect (or regional effect) or the trademark had not been court-validated or protected by statute or treaty; (ii) the second-level domain is not identical to the mark on which the registrant based its Sunrise Period registration; (iii) the trademark registration on which the registrant based its Sunrise Period registration is not of national or regional effect or the trademark had not been court-validated or protected by statute or treaty; or (iv) the trademark registration on which the second-level domain registrant based its Sunrise Period registration did not issue on or before the effective date of the Registry Agreement and was not applied for on or before June 13, 2012, the day ICANN announced the generic Top-Level Domain applications received.</w:t>
      </w:r>
    </w:p>
    <w:p>
      <w:pPr>
        <w:pStyle w:val="Corps A"/>
        <w:numPr>
          <w:ilvl w:val="1"/>
          <w:numId w:val="2"/>
        </w:numPr>
        <w:shd w:val="clear" w:color="auto" w:fill="ffffff"/>
        <w:bidi w:val="0"/>
        <w:spacing w:before="100" w:after="100" w:line="300" w:lineRule="atLeast"/>
        <w:ind w:right="300"/>
        <w:jc w:val="left"/>
        <w:rPr>
          <w:rFonts w:ascii="Arial" w:hAnsi="Arial"/>
          <w:color w:val="444444"/>
          <w:sz w:val="22"/>
          <w:szCs w:val="22"/>
          <w:rtl w:val="0"/>
          <w:lang w:val="en-US"/>
        </w:rPr>
      </w:pPr>
      <w:r>
        <w:rPr>
          <w:rStyle w:val="page number"/>
          <w:rFonts w:ascii="Arial" w:hAnsi="Arial"/>
          <w:color w:val="444444"/>
          <w:sz w:val="22"/>
          <w:szCs w:val="22"/>
          <w:u w:color="444444"/>
          <w:rtl w:val="0"/>
          <w:lang w:val="en-US"/>
        </w:rPr>
        <w:t>After receiving a complaint challenging a Sunrise Period application sent to</w:t>
      </w:r>
      <w:r>
        <w:rPr>
          <w:rStyle w:val="page number"/>
          <w:rFonts w:ascii="Arial" w:hAnsi="Arial"/>
          <w:color w:val="444444"/>
          <w:sz w:val="22"/>
          <w:szCs w:val="22"/>
          <w:u w:color="444444"/>
          <w:rtl w:val="0"/>
          <w:lang w:val="fr-FR"/>
        </w:rPr>
        <w:t xml:space="preserve">         </w:t>
      </w:r>
      <w:r>
        <w:rPr>
          <w:rStyle w:val="Hyperlink.0"/>
          <w:rFonts w:ascii="Arial" w:cs="Arial" w:hAnsi="Arial" w:eastAsia="Arial"/>
          <w:color w:val="0000ff"/>
          <w:sz w:val="22"/>
          <w:szCs w:val="22"/>
          <w:u w:val="single" w:color="0000ff"/>
        </w:rPr>
        <w:fldChar w:fldCharType="begin" w:fldLock="0"/>
      </w:r>
      <w:r>
        <w:rPr>
          <w:rStyle w:val="Hyperlink.0"/>
          <w:rFonts w:ascii="Arial" w:cs="Arial" w:hAnsi="Arial" w:eastAsia="Arial"/>
          <w:color w:val="0000ff"/>
          <w:sz w:val="22"/>
          <w:szCs w:val="22"/>
          <w:u w:val="single" w:color="0000ff"/>
        </w:rPr>
        <w:instrText xml:space="preserve"> HYPERLINK "mailto:dotcam@acwebconnecting.com"</w:instrText>
      </w:r>
      <w:r>
        <w:rPr>
          <w:rStyle w:val="Hyperlink.0"/>
          <w:rFonts w:ascii="Arial" w:cs="Arial" w:hAnsi="Arial" w:eastAsia="Arial"/>
          <w:color w:val="0000ff"/>
          <w:sz w:val="22"/>
          <w:szCs w:val="22"/>
          <w:u w:val="single" w:color="0000ff"/>
        </w:rPr>
        <w:fldChar w:fldCharType="separate" w:fldLock="0"/>
      </w:r>
      <w:r>
        <w:rPr>
          <w:rStyle w:val="Hyperlink.0"/>
          <w:rFonts w:ascii="Arial" w:hAnsi="Arial"/>
          <w:color w:val="0000ff"/>
          <w:sz w:val="22"/>
          <w:szCs w:val="22"/>
          <w:u w:val="single" w:color="0000ff"/>
          <w:rtl w:val="0"/>
          <w:lang w:val="en-US"/>
        </w:rPr>
        <w:t>dotcam@acwebconnecting.com</w:t>
      </w:r>
      <w:r>
        <w:rPr>
          <w:rFonts w:ascii="Arial" w:cs="Arial" w:hAnsi="Arial" w:eastAsia="Arial"/>
          <w:color w:val="444444"/>
          <w:sz w:val="22"/>
          <w:szCs w:val="22"/>
        </w:rPr>
        <w:fldChar w:fldCharType="end" w:fldLock="0"/>
      </w:r>
      <w:r>
        <w:rPr>
          <w:rStyle w:val="page number"/>
          <w:rFonts w:ascii="Arial" w:hAnsi="Arial"/>
          <w:color w:val="444444"/>
          <w:sz w:val="22"/>
          <w:szCs w:val="22"/>
          <w:u w:color="444444"/>
          <w:rtl w:val="0"/>
          <w:lang w:val="fr-FR"/>
        </w:rPr>
        <w:t xml:space="preserve"> </w:t>
      </w:r>
      <w:r>
        <w:rPr>
          <w:rStyle w:val="page number"/>
          <w:rFonts w:ascii="Arial" w:hAnsi="Arial"/>
          <w:color w:val="444444"/>
          <w:sz w:val="22"/>
          <w:szCs w:val="22"/>
          <w:u w:color="444444"/>
          <w:rtl w:val="0"/>
          <w:lang w:val="en-US"/>
        </w:rPr>
        <w:t xml:space="preserve"> the Registry Operator's designated contact ("Sunrise Contact") will review the Complaint to see if the Complaint reasonably asserts a legitimate challenge as defined by the SDRP. If the Complaint does not, the Sunrise Contact will email the complainant within ten business days of the Complaint to indicate that the subject of the Complaint does not fall within the SDRP, and that Registry Operator considers the matter closed.</w:t>
      </w:r>
    </w:p>
    <w:p>
      <w:pPr>
        <w:pStyle w:val="Corps A"/>
        <w:numPr>
          <w:ilvl w:val="1"/>
          <w:numId w:val="2"/>
        </w:numPr>
        <w:shd w:val="clear" w:color="auto" w:fill="ffffff"/>
        <w:bidi w:val="0"/>
        <w:spacing w:before="100" w:after="100" w:line="300" w:lineRule="atLeast"/>
        <w:ind w:right="300"/>
        <w:jc w:val="left"/>
        <w:rPr>
          <w:rFonts w:ascii="Arial" w:hAnsi="Arial"/>
          <w:color w:val="444444"/>
          <w:sz w:val="22"/>
          <w:szCs w:val="22"/>
          <w:rtl w:val="0"/>
          <w:lang w:val="en-US"/>
        </w:rPr>
      </w:pPr>
      <w:r>
        <w:rPr>
          <w:rStyle w:val="page number"/>
          <w:rFonts w:ascii="Arial" w:hAnsi="Arial"/>
          <w:color w:val="444444"/>
          <w:sz w:val="22"/>
          <w:szCs w:val="22"/>
          <w:u w:color="444444"/>
          <w:rtl w:val="0"/>
          <w:lang w:val="en-US"/>
        </w:rPr>
        <w:t xml:space="preserve">If the Sunrise Contact requires further information from the Sunrise Period registrant or if the second-level domain is not found to have adequately met the Sunrise Application Criteria, then the Sunrise Contact will promptly notify the registrant of the action and the nature of the Complaint, and provide the registrant with the option to respond within ten business days to cure the deficiencies. </w:t>
      </w:r>
    </w:p>
    <w:p>
      <w:pPr>
        <w:pStyle w:val="Corps A"/>
        <w:numPr>
          <w:ilvl w:val="1"/>
          <w:numId w:val="2"/>
        </w:numPr>
        <w:shd w:val="clear" w:color="auto" w:fill="ffffff"/>
        <w:bidi w:val="0"/>
        <w:spacing w:before="100" w:after="100" w:line="300" w:lineRule="atLeast"/>
        <w:ind w:right="300"/>
        <w:jc w:val="left"/>
        <w:rPr>
          <w:rFonts w:ascii="Arial" w:hAnsi="Arial"/>
          <w:color w:val="444444"/>
          <w:sz w:val="22"/>
          <w:szCs w:val="22"/>
          <w:rtl w:val="0"/>
          <w:lang w:val="en-US"/>
        </w:rPr>
      </w:pPr>
      <w:r>
        <w:rPr>
          <w:rStyle w:val="page number"/>
          <w:rFonts w:ascii="Arial" w:hAnsi="Arial"/>
          <w:color w:val="444444"/>
          <w:sz w:val="22"/>
          <w:szCs w:val="22"/>
          <w:u w:color="444444"/>
          <w:rtl w:val="0"/>
          <w:lang w:val="en-US"/>
        </w:rPr>
        <w:t>If the registrant responds within 10 business days, then its response will be reviewed by the Sunrise Contact to determine if the Application Criteria are met. If the Sunrise Contact is satisfied by the registrant's response, the Sunrise Contact will then notify the complainant that the Complaint was ultimately denied and provide the reasons for the denial. If not, both the registrant and the complainant will be notified that the second-level domain will be released.</w:t>
      </w:r>
    </w:p>
    <w:p>
      <w:pPr>
        <w:pStyle w:val="Corps A"/>
        <w:numPr>
          <w:ilvl w:val="1"/>
          <w:numId w:val="2"/>
        </w:numPr>
        <w:shd w:val="clear" w:color="auto" w:fill="ffffff"/>
        <w:bidi w:val="0"/>
        <w:spacing w:before="100" w:after="100" w:line="300" w:lineRule="atLeast"/>
        <w:ind w:right="300"/>
        <w:jc w:val="left"/>
        <w:rPr>
          <w:rFonts w:ascii="Arial" w:hAnsi="Arial"/>
          <w:color w:val="444444"/>
          <w:sz w:val="22"/>
          <w:szCs w:val="22"/>
          <w:rtl w:val="0"/>
          <w:lang w:val="en-US"/>
        </w:rPr>
      </w:pPr>
      <w:r>
        <w:rPr>
          <w:rStyle w:val="page number"/>
          <w:rFonts w:ascii="Arial" w:hAnsi="Arial"/>
          <w:color w:val="444444"/>
          <w:sz w:val="22"/>
          <w:szCs w:val="22"/>
          <w:u w:color="444444"/>
          <w:rtl w:val="0"/>
          <w:lang w:val="en-US"/>
        </w:rPr>
        <w:t>Registry Operator reserves the right to suspend a second-level domain during the pendency of a SDRP dispute, and/or to cancel, transfer, or take other action deemed necessary in its discretion upon completion of its review and/or receipt of a decision under the SDRP. Upon receipt of a decision that the registration does not meet the Application Criteria, Registry Operator expressly reserves the right to cancel, transfer, or take other action deemed necessary in its discretion.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fldChar w:fldCharType="begin" w:fldLock="0"/>
    </w:r>
    <w:r>
      <w:instrText xml:space="preserve"> PAGE </w:instrTex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lowerLetter"/>
      <w:suff w:val="tab"/>
      <w:lvlText w:val="%1."/>
      <w:lvlJc w:val="left"/>
      <w:pPr>
        <w:tabs>
          <w:tab w:val="left" w:pos="720"/>
        </w:tabs>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tabs>
          <w:tab w:val="left" w:pos="1440"/>
        </w:tabs>
        <w:ind w:left="900" w:hanging="46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144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440"/>
        </w:tabs>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1440"/>
        </w:tabs>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1440"/>
        </w:tabs>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440"/>
        </w:tabs>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1440"/>
        </w:tabs>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rps A">
    <w:name w:val="Corps A"/>
    <w:next w:val="Corps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page number">
    <w:name w:val="page number"/>
  </w:style>
  <w:style w:type="numbering" w:styleId="Style 1 importé">
    <w:name w:val="Style 1 importé"/>
    <w:pPr>
      <w:numPr>
        <w:numId w:val="1"/>
      </w:numPr>
    </w:p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