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A70" w:rsidRPr="001F36AE" w:rsidRDefault="0064663E" w:rsidP="00605A70">
      <w:pPr>
        <w:rPr>
          <w:rFonts w:ascii="Arial" w:hAnsi="Arial" w:cs="Arial"/>
          <w:b/>
          <w:sz w:val="20"/>
          <w:szCs w:val="20"/>
        </w:rPr>
      </w:pPr>
      <w:r>
        <w:rPr>
          <w:rFonts w:ascii="Arial" w:hAnsi="Arial" w:cs="Arial"/>
          <w:b/>
          <w:sz w:val="20"/>
          <w:szCs w:val="20"/>
        </w:rPr>
        <w:t>.KERRYPROPERTIES</w:t>
      </w:r>
      <w:r w:rsidR="00605A70" w:rsidRPr="001F36AE">
        <w:rPr>
          <w:rFonts w:ascii="Arial" w:hAnsi="Arial" w:cs="Arial"/>
          <w:b/>
          <w:sz w:val="20"/>
          <w:szCs w:val="20"/>
        </w:rPr>
        <w:t xml:space="preserve"> SUNRISE REGISTRATION AND SUNRISE DISPUTE RESOLUTION POLICY </w:t>
      </w:r>
    </w:p>
    <w:p w:rsidR="00605A70" w:rsidRPr="001F36AE" w:rsidRDefault="00605A70" w:rsidP="00F92366">
      <w:pPr>
        <w:rPr>
          <w:rFonts w:ascii="Arial" w:hAnsi="Arial" w:cs="Arial"/>
          <w:b/>
          <w:sz w:val="20"/>
          <w:szCs w:val="20"/>
        </w:rPr>
      </w:pPr>
    </w:p>
    <w:p w:rsidR="00605A70" w:rsidRPr="001F36AE" w:rsidRDefault="00605A70" w:rsidP="00F92366">
      <w:pPr>
        <w:rPr>
          <w:rFonts w:ascii="Arial" w:hAnsi="Arial" w:cs="Arial"/>
          <w:b/>
          <w:sz w:val="20"/>
          <w:szCs w:val="20"/>
        </w:rPr>
      </w:pPr>
    </w:p>
    <w:p w:rsidR="00605A70" w:rsidRPr="001F36AE" w:rsidRDefault="00605A70" w:rsidP="00605A70">
      <w:pPr>
        <w:pStyle w:val="ListParagraph"/>
        <w:numPr>
          <w:ilvl w:val="0"/>
          <w:numId w:val="15"/>
        </w:numPr>
        <w:rPr>
          <w:rFonts w:ascii="Arial" w:hAnsi="Arial" w:cs="Arial"/>
          <w:b/>
          <w:sz w:val="20"/>
          <w:szCs w:val="20"/>
        </w:rPr>
      </w:pPr>
      <w:r w:rsidRPr="001F36AE">
        <w:rPr>
          <w:rFonts w:ascii="Arial" w:hAnsi="Arial" w:cs="Arial"/>
          <w:b/>
          <w:sz w:val="20"/>
          <w:szCs w:val="20"/>
        </w:rPr>
        <w:t xml:space="preserve">PURPOSE </w:t>
      </w:r>
    </w:p>
    <w:p w:rsidR="00605A70" w:rsidRPr="001F36AE" w:rsidRDefault="00605A70" w:rsidP="00605A70">
      <w:pPr>
        <w:rPr>
          <w:rFonts w:ascii="Arial" w:hAnsi="Arial" w:cs="Arial"/>
          <w:sz w:val="20"/>
          <w:szCs w:val="20"/>
        </w:rPr>
      </w:pPr>
      <w:r w:rsidRPr="001F36AE">
        <w:rPr>
          <w:rFonts w:ascii="Arial" w:hAnsi="Arial" w:cs="Arial"/>
          <w:sz w:val="20"/>
          <w:szCs w:val="20"/>
        </w:rPr>
        <w:t xml:space="preserve">Only </w:t>
      </w:r>
      <w:r w:rsidR="00F42560" w:rsidRPr="00F42560">
        <w:rPr>
          <w:rFonts w:ascii="Arial" w:hAnsi="Arial" w:cs="Arial"/>
          <w:sz w:val="20"/>
          <w:szCs w:val="20"/>
        </w:rPr>
        <w:t>Kerry Trading Co. Limited</w:t>
      </w:r>
      <w:r w:rsidR="0064663E">
        <w:rPr>
          <w:rFonts w:ascii="Arial" w:hAnsi="Arial" w:cs="Arial"/>
          <w:sz w:val="20"/>
          <w:szCs w:val="20"/>
        </w:rPr>
        <w:t xml:space="preserve"> </w:t>
      </w:r>
      <w:bookmarkStart w:id="0" w:name="_GoBack"/>
      <w:bookmarkEnd w:id="0"/>
      <w:r w:rsidRPr="001F36AE">
        <w:rPr>
          <w:rFonts w:ascii="Arial" w:hAnsi="Arial" w:cs="Arial"/>
          <w:sz w:val="20"/>
          <w:szCs w:val="20"/>
        </w:rPr>
        <w:t xml:space="preserve">and its Affiliates are eligible to register a </w:t>
      </w:r>
      <w:r w:rsidR="002A2982" w:rsidRPr="001F36AE">
        <w:rPr>
          <w:rFonts w:ascii="Arial" w:hAnsi="Arial" w:cs="Arial"/>
          <w:sz w:val="20"/>
          <w:szCs w:val="20"/>
        </w:rPr>
        <w:t>d</w:t>
      </w:r>
      <w:r w:rsidRPr="001F36AE">
        <w:rPr>
          <w:rFonts w:ascii="Arial" w:hAnsi="Arial" w:cs="Arial"/>
          <w:sz w:val="20"/>
          <w:szCs w:val="20"/>
        </w:rPr>
        <w:t xml:space="preserve">omain </w:t>
      </w:r>
      <w:r w:rsidR="002A2982" w:rsidRPr="001F36AE">
        <w:rPr>
          <w:rFonts w:ascii="Arial" w:hAnsi="Arial" w:cs="Arial"/>
          <w:sz w:val="20"/>
          <w:szCs w:val="20"/>
        </w:rPr>
        <w:t>n</w:t>
      </w:r>
      <w:r w:rsidRPr="001F36AE">
        <w:rPr>
          <w:rFonts w:ascii="Arial" w:hAnsi="Arial" w:cs="Arial"/>
          <w:sz w:val="20"/>
          <w:szCs w:val="20"/>
        </w:rPr>
        <w:t xml:space="preserve">ame under the </w:t>
      </w:r>
      <w:r w:rsidR="0064663E">
        <w:rPr>
          <w:rFonts w:ascii="Arial" w:hAnsi="Arial" w:cs="Arial"/>
          <w:b/>
          <w:sz w:val="20"/>
          <w:szCs w:val="20"/>
        </w:rPr>
        <w:t>.KERRYPROPERTIES</w:t>
      </w:r>
      <w:r w:rsidRPr="001F36AE">
        <w:rPr>
          <w:rFonts w:ascii="Arial" w:hAnsi="Arial" w:cs="Arial"/>
          <w:b/>
          <w:sz w:val="20"/>
          <w:szCs w:val="20"/>
        </w:rPr>
        <w:t xml:space="preserve"> </w:t>
      </w:r>
      <w:r w:rsidRPr="001F36AE">
        <w:rPr>
          <w:rFonts w:ascii="Arial" w:hAnsi="Arial" w:cs="Arial"/>
          <w:sz w:val="20"/>
          <w:szCs w:val="20"/>
        </w:rPr>
        <w:t xml:space="preserve">TLD. Therefore, it is not envisioned that other registrants will be eligible to reserve or register domain names during the Sunrise Period. However, in accordance with the ICANN requirement, this Sunrise Registration </w:t>
      </w:r>
      <w:r w:rsidR="00113DED" w:rsidRPr="001F36AE">
        <w:rPr>
          <w:rFonts w:ascii="Arial" w:hAnsi="Arial" w:cs="Arial"/>
          <w:sz w:val="20"/>
          <w:szCs w:val="20"/>
        </w:rPr>
        <w:t xml:space="preserve">Policy </w:t>
      </w:r>
      <w:r w:rsidRPr="001F36AE">
        <w:rPr>
          <w:rFonts w:ascii="Arial" w:hAnsi="Arial" w:cs="Arial"/>
          <w:sz w:val="20"/>
          <w:szCs w:val="20"/>
        </w:rPr>
        <w:t>and Sunrise Dispute Resolution Policy</w:t>
      </w:r>
      <w:r w:rsidR="00113DED" w:rsidRPr="001F36AE">
        <w:rPr>
          <w:rFonts w:ascii="Arial" w:hAnsi="Arial" w:cs="Arial"/>
          <w:sz w:val="20"/>
          <w:szCs w:val="20"/>
        </w:rPr>
        <w:t xml:space="preserve"> (“</w:t>
      </w:r>
      <w:r w:rsidR="00113DED" w:rsidRPr="001F36AE">
        <w:rPr>
          <w:rFonts w:ascii="Arial" w:hAnsi="Arial" w:cs="Arial"/>
          <w:b/>
          <w:sz w:val="20"/>
          <w:szCs w:val="20"/>
        </w:rPr>
        <w:t>SDRP</w:t>
      </w:r>
      <w:r w:rsidR="00113DED" w:rsidRPr="001F36AE">
        <w:rPr>
          <w:rFonts w:ascii="Arial" w:hAnsi="Arial" w:cs="Arial"/>
          <w:sz w:val="20"/>
          <w:szCs w:val="20"/>
        </w:rPr>
        <w:t>”)</w:t>
      </w:r>
      <w:r w:rsidRPr="001F36AE">
        <w:rPr>
          <w:rFonts w:ascii="Arial" w:hAnsi="Arial" w:cs="Arial"/>
          <w:sz w:val="20"/>
          <w:szCs w:val="20"/>
        </w:rPr>
        <w:t xml:space="preserve"> </w:t>
      </w:r>
      <w:r w:rsidR="00113DED" w:rsidRPr="001F36AE">
        <w:rPr>
          <w:rFonts w:ascii="Arial" w:hAnsi="Arial" w:cs="Arial"/>
          <w:sz w:val="20"/>
          <w:szCs w:val="20"/>
        </w:rPr>
        <w:t>sets out the process for the resolution of any disputes arising during the Sunrise Period.</w:t>
      </w:r>
      <w:r w:rsidRPr="001F36AE">
        <w:rPr>
          <w:rFonts w:ascii="Arial" w:hAnsi="Arial" w:cs="Arial"/>
          <w:sz w:val="20"/>
          <w:szCs w:val="20"/>
        </w:rPr>
        <w:t xml:space="preserve"> </w:t>
      </w:r>
    </w:p>
    <w:p w:rsidR="00113DED" w:rsidRPr="001F36AE" w:rsidRDefault="00113DED" w:rsidP="00605A70">
      <w:pPr>
        <w:rPr>
          <w:rFonts w:ascii="Arial" w:hAnsi="Arial" w:cs="Arial"/>
          <w:sz w:val="20"/>
          <w:szCs w:val="20"/>
        </w:rPr>
      </w:pPr>
    </w:p>
    <w:p w:rsidR="00113DED" w:rsidRPr="001F36AE" w:rsidRDefault="00113DED" w:rsidP="00605A70">
      <w:pPr>
        <w:rPr>
          <w:rFonts w:ascii="Arial" w:hAnsi="Arial" w:cs="Arial"/>
          <w:sz w:val="20"/>
          <w:szCs w:val="20"/>
        </w:rPr>
      </w:pPr>
      <w:r w:rsidRPr="001F36AE">
        <w:rPr>
          <w:rFonts w:ascii="Arial" w:hAnsi="Arial" w:cs="Arial"/>
          <w:sz w:val="20"/>
          <w:szCs w:val="20"/>
        </w:rPr>
        <w:t xml:space="preserve">Any domain name registered including names registered during the Sunrise period of the </w:t>
      </w:r>
      <w:r w:rsidR="0064663E">
        <w:rPr>
          <w:rFonts w:ascii="Arial" w:hAnsi="Arial" w:cs="Arial"/>
          <w:b/>
          <w:sz w:val="20"/>
          <w:szCs w:val="20"/>
        </w:rPr>
        <w:t>.KERRYPROPERTIES</w:t>
      </w:r>
      <w:r w:rsidRPr="001F36AE">
        <w:rPr>
          <w:rFonts w:ascii="Arial" w:hAnsi="Arial" w:cs="Arial"/>
          <w:b/>
          <w:sz w:val="20"/>
          <w:szCs w:val="20"/>
        </w:rPr>
        <w:t xml:space="preserve"> </w:t>
      </w:r>
      <w:r w:rsidRPr="001F36AE">
        <w:rPr>
          <w:rFonts w:ascii="Arial" w:hAnsi="Arial" w:cs="Arial"/>
          <w:sz w:val="20"/>
          <w:szCs w:val="20"/>
        </w:rPr>
        <w:t xml:space="preserve">TLD is subject to the </w:t>
      </w:r>
      <w:r w:rsidR="0064663E">
        <w:rPr>
          <w:rFonts w:ascii="Arial" w:hAnsi="Arial" w:cs="Arial"/>
          <w:b/>
          <w:sz w:val="20"/>
          <w:szCs w:val="20"/>
        </w:rPr>
        <w:t>.KERRYPROPERTIES</w:t>
      </w:r>
      <w:r w:rsidR="00F42560" w:rsidRPr="001F36AE">
        <w:rPr>
          <w:rFonts w:ascii="Arial" w:hAnsi="Arial" w:cs="Arial"/>
          <w:b/>
          <w:sz w:val="20"/>
          <w:szCs w:val="20"/>
        </w:rPr>
        <w:t xml:space="preserve"> </w:t>
      </w:r>
      <w:r w:rsidRPr="001F36AE">
        <w:rPr>
          <w:rFonts w:ascii="Arial" w:hAnsi="Arial" w:cs="Arial"/>
          <w:sz w:val="20"/>
          <w:szCs w:val="20"/>
        </w:rPr>
        <w:t>TLD Registration Policy at all times including its eligibility criteria.</w:t>
      </w:r>
    </w:p>
    <w:p w:rsidR="00605A70" w:rsidRPr="001F36AE" w:rsidRDefault="00605A70" w:rsidP="00605A70">
      <w:pPr>
        <w:rPr>
          <w:rFonts w:ascii="Arial" w:hAnsi="Arial" w:cs="Arial"/>
          <w:b/>
          <w:sz w:val="20"/>
          <w:szCs w:val="20"/>
        </w:rPr>
      </w:pPr>
    </w:p>
    <w:p w:rsidR="00605A70" w:rsidRPr="001F36AE" w:rsidRDefault="00113DED" w:rsidP="00605A70">
      <w:pPr>
        <w:pStyle w:val="ListParagraph"/>
        <w:numPr>
          <w:ilvl w:val="0"/>
          <w:numId w:val="15"/>
        </w:numPr>
        <w:rPr>
          <w:rFonts w:ascii="Arial" w:hAnsi="Arial" w:cs="Arial"/>
          <w:b/>
          <w:sz w:val="20"/>
          <w:szCs w:val="20"/>
        </w:rPr>
      </w:pPr>
      <w:r w:rsidRPr="001F36AE">
        <w:rPr>
          <w:rFonts w:ascii="Arial" w:hAnsi="Arial" w:cs="Arial"/>
          <w:b/>
          <w:sz w:val="20"/>
          <w:szCs w:val="20"/>
        </w:rPr>
        <w:t xml:space="preserve">SUNRISE REGISTRATION </w:t>
      </w:r>
    </w:p>
    <w:p w:rsidR="00E17355" w:rsidRPr="001F36AE" w:rsidRDefault="00E17355" w:rsidP="00E17355">
      <w:pPr>
        <w:pStyle w:val="ListParagraph"/>
        <w:ind w:left="360"/>
        <w:rPr>
          <w:rFonts w:ascii="Arial" w:hAnsi="Arial" w:cs="Arial"/>
          <w:b/>
          <w:sz w:val="20"/>
          <w:szCs w:val="20"/>
        </w:rPr>
      </w:pPr>
    </w:p>
    <w:p w:rsidR="00777C88" w:rsidRPr="001F36AE" w:rsidRDefault="00777C88" w:rsidP="00777C88">
      <w:pPr>
        <w:pStyle w:val="ListParagraph"/>
        <w:numPr>
          <w:ilvl w:val="0"/>
          <w:numId w:val="18"/>
        </w:numPr>
        <w:rPr>
          <w:rFonts w:ascii="Arial" w:hAnsi="Arial" w:cs="Arial"/>
          <w:b/>
          <w:vanish/>
          <w:sz w:val="20"/>
          <w:szCs w:val="20"/>
        </w:rPr>
      </w:pPr>
    </w:p>
    <w:p w:rsidR="00777C88" w:rsidRPr="001F36AE" w:rsidRDefault="00777C88" w:rsidP="00777C88">
      <w:pPr>
        <w:pStyle w:val="ListParagraph"/>
        <w:numPr>
          <w:ilvl w:val="0"/>
          <w:numId w:val="18"/>
        </w:numPr>
        <w:rPr>
          <w:rFonts w:ascii="Arial" w:hAnsi="Arial" w:cs="Arial"/>
          <w:b/>
          <w:vanish/>
          <w:sz w:val="20"/>
          <w:szCs w:val="20"/>
        </w:rPr>
      </w:pPr>
    </w:p>
    <w:p w:rsidR="00777C88" w:rsidRPr="001F36AE" w:rsidRDefault="00777C88" w:rsidP="00777C88">
      <w:pPr>
        <w:pStyle w:val="ListParagraph"/>
        <w:numPr>
          <w:ilvl w:val="1"/>
          <w:numId w:val="18"/>
        </w:numPr>
        <w:rPr>
          <w:rFonts w:ascii="Arial" w:hAnsi="Arial" w:cs="Arial"/>
          <w:b/>
          <w:sz w:val="20"/>
          <w:szCs w:val="20"/>
        </w:rPr>
      </w:pPr>
      <w:r w:rsidRPr="001F36AE">
        <w:rPr>
          <w:rFonts w:ascii="Arial" w:hAnsi="Arial" w:cs="Arial"/>
          <w:b/>
          <w:sz w:val="20"/>
          <w:szCs w:val="20"/>
        </w:rPr>
        <w:t>Sunrise Period</w:t>
      </w:r>
    </w:p>
    <w:p w:rsidR="00777C88" w:rsidRPr="001F36AE" w:rsidRDefault="00BF2ED1" w:rsidP="00BF2ED1">
      <w:pPr>
        <w:ind w:left="360"/>
        <w:rPr>
          <w:rFonts w:ascii="Arial" w:hAnsi="Arial" w:cs="Arial"/>
          <w:sz w:val="20"/>
          <w:szCs w:val="20"/>
        </w:rPr>
      </w:pPr>
      <w:r w:rsidRPr="001F36AE">
        <w:rPr>
          <w:rFonts w:ascii="Arial" w:hAnsi="Arial" w:cs="Arial"/>
          <w:sz w:val="20"/>
          <w:szCs w:val="20"/>
        </w:rPr>
        <w:t xml:space="preserve">The Sunrise Period will continue for 30 days from the launch of the </w:t>
      </w:r>
      <w:r w:rsidR="0064663E">
        <w:rPr>
          <w:rFonts w:ascii="Arial" w:hAnsi="Arial" w:cs="Arial"/>
          <w:b/>
          <w:sz w:val="20"/>
          <w:szCs w:val="20"/>
        </w:rPr>
        <w:t>.KERRYPROPERTIES</w:t>
      </w:r>
      <w:r w:rsidRPr="001F36AE">
        <w:rPr>
          <w:rFonts w:ascii="Arial" w:hAnsi="Arial" w:cs="Arial"/>
          <w:b/>
          <w:sz w:val="20"/>
          <w:szCs w:val="20"/>
        </w:rPr>
        <w:t xml:space="preserve"> </w:t>
      </w:r>
      <w:r w:rsidRPr="001F36AE">
        <w:rPr>
          <w:rFonts w:ascii="Arial" w:hAnsi="Arial" w:cs="Arial"/>
          <w:sz w:val="20"/>
          <w:szCs w:val="20"/>
        </w:rPr>
        <w:t xml:space="preserve">TLD.   </w:t>
      </w:r>
    </w:p>
    <w:p w:rsidR="00BF2ED1" w:rsidRPr="001F36AE" w:rsidRDefault="00BF2ED1" w:rsidP="00BF2ED1">
      <w:pPr>
        <w:ind w:left="360"/>
        <w:rPr>
          <w:rFonts w:ascii="Arial" w:hAnsi="Arial" w:cs="Arial"/>
          <w:sz w:val="20"/>
          <w:szCs w:val="20"/>
        </w:rPr>
      </w:pPr>
    </w:p>
    <w:p w:rsidR="00777C88" w:rsidRPr="001F36AE" w:rsidRDefault="00777C88" w:rsidP="00777C88">
      <w:pPr>
        <w:pStyle w:val="ListParagraph"/>
        <w:numPr>
          <w:ilvl w:val="1"/>
          <w:numId w:val="18"/>
        </w:numPr>
        <w:rPr>
          <w:rFonts w:ascii="Arial" w:hAnsi="Arial" w:cs="Arial"/>
          <w:b/>
          <w:sz w:val="20"/>
          <w:szCs w:val="20"/>
        </w:rPr>
      </w:pPr>
      <w:r w:rsidRPr="001F36AE">
        <w:rPr>
          <w:rFonts w:ascii="Arial" w:hAnsi="Arial" w:cs="Arial"/>
          <w:b/>
          <w:sz w:val="20"/>
          <w:szCs w:val="20"/>
        </w:rPr>
        <w:t xml:space="preserve">Eligibility </w:t>
      </w:r>
      <w:r w:rsidR="000D1AE7" w:rsidRPr="001F36AE">
        <w:rPr>
          <w:rFonts w:ascii="Arial" w:hAnsi="Arial" w:cs="Arial"/>
          <w:b/>
          <w:sz w:val="20"/>
          <w:szCs w:val="20"/>
        </w:rPr>
        <w:t xml:space="preserve">for Sunrise Registration </w:t>
      </w:r>
    </w:p>
    <w:p w:rsidR="00BF2ED1" w:rsidRPr="001F36AE" w:rsidRDefault="00BF2ED1" w:rsidP="00BF2ED1">
      <w:pPr>
        <w:ind w:left="360"/>
        <w:rPr>
          <w:rFonts w:ascii="Arial" w:hAnsi="Arial" w:cs="Arial"/>
          <w:sz w:val="20"/>
          <w:szCs w:val="20"/>
        </w:rPr>
      </w:pPr>
      <w:r w:rsidRPr="001F36AE">
        <w:rPr>
          <w:rFonts w:ascii="Arial" w:hAnsi="Arial" w:cs="Arial"/>
          <w:sz w:val="20"/>
          <w:szCs w:val="20"/>
        </w:rPr>
        <w:t xml:space="preserve">During the Sunrise Period, registration under the </w:t>
      </w:r>
      <w:r w:rsidR="0064663E">
        <w:rPr>
          <w:rFonts w:ascii="Arial" w:hAnsi="Arial" w:cs="Arial"/>
          <w:b/>
          <w:sz w:val="20"/>
          <w:szCs w:val="20"/>
        </w:rPr>
        <w:t>.KERRYPROPERTIES</w:t>
      </w:r>
      <w:r w:rsidRPr="001F36AE">
        <w:rPr>
          <w:rFonts w:ascii="Arial" w:hAnsi="Arial" w:cs="Arial"/>
          <w:b/>
          <w:sz w:val="20"/>
          <w:szCs w:val="20"/>
        </w:rPr>
        <w:t xml:space="preserve"> </w:t>
      </w:r>
      <w:r w:rsidRPr="001F36AE">
        <w:rPr>
          <w:rFonts w:ascii="Arial" w:hAnsi="Arial" w:cs="Arial"/>
          <w:sz w:val="20"/>
          <w:szCs w:val="20"/>
        </w:rPr>
        <w:t>is restricted to applicants who:</w:t>
      </w:r>
    </w:p>
    <w:p w:rsidR="00BF2ED1" w:rsidRPr="001F36AE" w:rsidRDefault="00BF2ED1" w:rsidP="00BF2ED1">
      <w:pPr>
        <w:pStyle w:val="ListParagraph"/>
        <w:numPr>
          <w:ilvl w:val="0"/>
          <w:numId w:val="23"/>
        </w:numPr>
        <w:rPr>
          <w:rFonts w:ascii="Arial" w:hAnsi="Arial" w:cs="Arial"/>
          <w:sz w:val="20"/>
          <w:szCs w:val="20"/>
        </w:rPr>
      </w:pPr>
      <w:r w:rsidRPr="001F36AE">
        <w:rPr>
          <w:rFonts w:ascii="Arial" w:hAnsi="Arial" w:cs="Arial"/>
          <w:sz w:val="20"/>
          <w:szCs w:val="20"/>
        </w:rPr>
        <w:t xml:space="preserve">meet the eligibility requirement under the </w:t>
      </w:r>
      <w:r w:rsidR="0064663E">
        <w:rPr>
          <w:rFonts w:ascii="Arial" w:hAnsi="Arial" w:cs="Arial"/>
          <w:b/>
          <w:sz w:val="20"/>
          <w:szCs w:val="20"/>
        </w:rPr>
        <w:t>.KERRYPROPERTIES</w:t>
      </w:r>
      <w:r w:rsidRPr="001F36AE">
        <w:rPr>
          <w:rFonts w:ascii="Arial" w:hAnsi="Arial" w:cs="Arial"/>
          <w:b/>
          <w:sz w:val="20"/>
          <w:szCs w:val="20"/>
        </w:rPr>
        <w:t xml:space="preserve"> </w:t>
      </w:r>
      <w:r w:rsidRPr="001F36AE">
        <w:rPr>
          <w:rFonts w:ascii="Arial" w:hAnsi="Arial" w:cs="Arial"/>
          <w:sz w:val="20"/>
          <w:szCs w:val="20"/>
        </w:rPr>
        <w:t>TLD Registration Policy; and</w:t>
      </w:r>
    </w:p>
    <w:p w:rsidR="00BF2ED1" w:rsidRPr="001F36AE" w:rsidRDefault="00BF2ED1" w:rsidP="00BF2ED1">
      <w:pPr>
        <w:pStyle w:val="ListParagraph"/>
        <w:numPr>
          <w:ilvl w:val="0"/>
          <w:numId w:val="23"/>
        </w:numPr>
        <w:rPr>
          <w:rFonts w:ascii="Arial" w:hAnsi="Arial" w:cs="Arial"/>
          <w:sz w:val="20"/>
          <w:szCs w:val="20"/>
        </w:rPr>
      </w:pPr>
      <w:r w:rsidRPr="001F36AE">
        <w:rPr>
          <w:rFonts w:ascii="Arial" w:hAnsi="Arial" w:cs="Arial"/>
          <w:sz w:val="20"/>
          <w:szCs w:val="20"/>
        </w:rPr>
        <w:t>are holders of trademark registered in the TMCH having a corresponding SMD file</w:t>
      </w:r>
    </w:p>
    <w:p w:rsidR="00BF2ED1" w:rsidRPr="001F36AE" w:rsidRDefault="00BF2ED1" w:rsidP="00BF2ED1">
      <w:pPr>
        <w:ind w:left="360"/>
        <w:rPr>
          <w:rFonts w:ascii="Arial" w:hAnsi="Arial" w:cs="Arial"/>
          <w:sz w:val="20"/>
          <w:szCs w:val="20"/>
        </w:rPr>
      </w:pPr>
    </w:p>
    <w:p w:rsidR="00BF2ED1" w:rsidRPr="001F36AE" w:rsidRDefault="00BF2ED1" w:rsidP="00777C88">
      <w:pPr>
        <w:pStyle w:val="ListParagraph"/>
        <w:numPr>
          <w:ilvl w:val="1"/>
          <w:numId w:val="18"/>
        </w:numPr>
        <w:rPr>
          <w:rFonts w:ascii="Arial" w:hAnsi="Arial" w:cs="Arial"/>
          <w:b/>
          <w:sz w:val="20"/>
          <w:szCs w:val="20"/>
        </w:rPr>
      </w:pPr>
      <w:r w:rsidRPr="001F36AE">
        <w:rPr>
          <w:rFonts w:ascii="Arial" w:hAnsi="Arial" w:cs="Arial"/>
          <w:b/>
          <w:sz w:val="20"/>
          <w:szCs w:val="20"/>
        </w:rPr>
        <w:t>Requirement for registration during the Sunrise Period</w:t>
      </w:r>
    </w:p>
    <w:p w:rsidR="00BF2ED1" w:rsidRPr="001F36AE" w:rsidRDefault="00BF2ED1" w:rsidP="00BF2ED1">
      <w:pPr>
        <w:ind w:left="360"/>
        <w:rPr>
          <w:rFonts w:ascii="Arial" w:hAnsi="Arial" w:cs="Arial"/>
          <w:sz w:val="20"/>
          <w:szCs w:val="20"/>
        </w:rPr>
      </w:pPr>
      <w:r w:rsidRPr="001F36AE">
        <w:rPr>
          <w:rFonts w:ascii="Arial" w:hAnsi="Arial" w:cs="Arial"/>
          <w:sz w:val="20"/>
          <w:szCs w:val="20"/>
        </w:rPr>
        <w:t>The domain name applied for registration during the Sunrise Period must:</w:t>
      </w:r>
    </w:p>
    <w:p w:rsidR="00831A49" w:rsidRPr="001F36AE" w:rsidRDefault="00BF2ED1" w:rsidP="00BF2ED1">
      <w:pPr>
        <w:pStyle w:val="ListParagraph"/>
        <w:numPr>
          <w:ilvl w:val="0"/>
          <w:numId w:val="24"/>
        </w:numPr>
        <w:rPr>
          <w:rFonts w:ascii="Arial" w:hAnsi="Arial" w:cs="Arial"/>
          <w:sz w:val="20"/>
          <w:szCs w:val="20"/>
        </w:rPr>
      </w:pPr>
      <w:r w:rsidRPr="001F36AE">
        <w:rPr>
          <w:rFonts w:ascii="Arial" w:hAnsi="Arial" w:cs="Arial"/>
          <w:sz w:val="20"/>
          <w:szCs w:val="20"/>
        </w:rPr>
        <w:t xml:space="preserve">be an Identical Match to the mark </w:t>
      </w:r>
      <w:r w:rsidR="00AF03B5" w:rsidRPr="001F36AE">
        <w:rPr>
          <w:rFonts w:ascii="Arial" w:hAnsi="Arial" w:cs="Arial"/>
          <w:sz w:val="20"/>
          <w:szCs w:val="20"/>
        </w:rPr>
        <w:t xml:space="preserve">to the mark in the SMD File; </w:t>
      </w:r>
    </w:p>
    <w:p w:rsidR="00831A49" w:rsidRPr="001F36AE" w:rsidRDefault="00831A49" w:rsidP="00831A49">
      <w:pPr>
        <w:autoSpaceDE w:val="0"/>
        <w:autoSpaceDN w:val="0"/>
        <w:adjustRightInd w:val="0"/>
        <w:ind w:left="1440"/>
        <w:rPr>
          <w:rFonts w:ascii="Arial" w:eastAsiaTheme="minorHAnsi" w:hAnsi="Arial" w:cs="Arial"/>
          <w:color w:val="101010"/>
          <w:sz w:val="21"/>
          <w:szCs w:val="21"/>
        </w:rPr>
      </w:pPr>
      <w:r w:rsidRPr="001F36AE">
        <w:rPr>
          <w:rFonts w:ascii="Arial" w:eastAsiaTheme="minorHAnsi" w:hAnsi="Arial" w:cs="Arial"/>
          <w:color w:val="101010"/>
          <w:sz w:val="21"/>
          <w:szCs w:val="21"/>
        </w:rPr>
        <w:t>a) For a trademark exclusively consisting of letters, words, numerals and/or special characters: the recorded name of the mark is an identical match to the reported name as long as all characters are included in the trademark record provided to the TMCH and in the same order in which they appear on the trademark certificate.</w:t>
      </w:r>
    </w:p>
    <w:p w:rsidR="00831A49" w:rsidRPr="001F36AE" w:rsidRDefault="00831A49" w:rsidP="00831A49">
      <w:pPr>
        <w:autoSpaceDE w:val="0"/>
        <w:autoSpaceDN w:val="0"/>
        <w:adjustRightInd w:val="0"/>
        <w:ind w:left="1440"/>
        <w:rPr>
          <w:rFonts w:ascii="Arial" w:eastAsiaTheme="minorHAnsi" w:hAnsi="Arial" w:cs="Arial"/>
          <w:color w:val="101010"/>
          <w:sz w:val="21"/>
          <w:szCs w:val="21"/>
        </w:rPr>
      </w:pPr>
      <w:r w:rsidRPr="001F36AE">
        <w:rPr>
          <w:rFonts w:ascii="Arial" w:eastAsiaTheme="minorHAnsi" w:hAnsi="Arial" w:cs="Arial"/>
          <w:color w:val="101010"/>
          <w:sz w:val="21"/>
          <w:szCs w:val="21"/>
        </w:rPr>
        <w:t>b) For a marks that do not exclusively consist of letters, words, numerals, or special characters: the recorded name of the trademark is an identical match to the reported name as long as the name of the trademark includes letters, words, numerals, keyboard signs, and punctuation marks that are:</w:t>
      </w:r>
    </w:p>
    <w:p w:rsidR="00831A49" w:rsidRPr="001F36AE" w:rsidRDefault="00831A49" w:rsidP="00831A49">
      <w:pPr>
        <w:autoSpaceDE w:val="0"/>
        <w:autoSpaceDN w:val="0"/>
        <w:adjustRightInd w:val="0"/>
        <w:ind w:left="2160"/>
        <w:rPr>
          <w:rFonts w:ascii="Arial" w:eastAsiaTheme="minorHAnsi" w:hAnsi="Arial" w:cs="Arial"/>
          <w:color w:val="101010"/>
          <w:sz w:val="21"/>
          <w:szCs w:val="21"/>
        </w:rPr>
      </w:pPr>
      <w:r w:rsidRPr="001F36AE">
        <w:rPr>
          <w:rFonts w:ascii="Arial" w:eastAsiaTheme="minorHAnsi" w:hAnsi="Arial" w:cs="Arial"/>
          <w:color w:val="101010"/>
          <w:sz w:val="21"/>
          <w:szCs w:val="21"/>
        </w:rPr>
        <w:t xml:space="preserve">(i) </w:t>
      </w:r>
      <w:proofErr w:type="gramStart"/>
      <w:r w:rsidRPr="001F36AE">
        <w:rPr>
          <w:rFonts w:ascii="Arial" w:eastAsiaTheme="minorHAnsi" w:hAnsi="Arial" w:cs="Arial"/>
          <w:color w:val="101010"/>
          <w:sz w:val="21"/>
          <w:szCs w:val="21"/>
        </w:rPr>
        <w:t>predominant</w:t>
      </w:r>
      <w:proofErr w:type="gramEnd"/>
      <w:r w:rsidRPr="001F36AE">
        <w:rPr>
          <w:rFonts w:ascii="Arial" w:eastAsiaTheme="minorHAnsi" w:hAnsi="Arial" w:cs="Arial"/>
          <w:color w:val="101010"/>
          <w:sz w:val="21"/>
          <w:szCs w:val="21"/>
        </w:rPr>
        <w:t>;</w:t>
      </w:r>
    </w:p>
    <w:p w:rsidR="00831A49" w:rsidRPr="001F36AE" w:rsidRDefault="00831A49" w:rsidP="00831A49">
      <w:pPr>
        <w:autoSpaceDE w:val="0"/>
        <w:autoSpaceDN w:val="0"/>
        <w:adjustRightInd w:val="0"/>
        <w:ind w:left="2160"/>
        <w:rPr>
          <w:rFonts w:ascii="Arial" w:eastAsiaTheme="minorHAnsi" w:hAnsi="Arial" w:cs="Arial"/>
          <w:color w:val="101010"/>
          <w:sz w:val="21"/>
          <w:szCs w:val="21"/>
        </w:rPr>
      </w:pPr>
      <w:r w:rsidRPr="001F36AE">
        <w:rPr>
          <w:rFonts w:ascii="Arial" w:eastAsiaTheme="minorHAnsi" w:hAnsi="Arial" w:cs="Arial"/>
          <w:color w:val="101010"/>
          <w:sz w:val="21"/>
          <w:szCs w:val="21"/>
        </w:rPr>
        <w:t xml:space="preserve">(ii) </w:t>
      </w:r>
      <w:proofErr w:type="gramStart"/>
      <w:r w:rsidRPr="001F36AE">
        <w:rPr>
          <w:rFonts w:ascii="Arial" w:eastAsiaTheme="minorHAnsi" w:hAnsi="Arial" w:cs="Arial"/>
          <w:color w:val="101010"/>
          <w:sz w:val="21"/>
          <w:szCs w:val="21"/>
        </w:rPr>
        <w:t>clearly</w:t>
      </w:r>
      <w:proofErr w:type="gramEnd"/>
      <w:r w:rsidRPr="001F36AE">
        <w:rPr>
          <w:rFonts w:ascii="Arial" w:eastAsiaTheme="minorHAnsi" w:hAnsi="Arial" w:cs="Arial"/>
          <w:color w:val="101010"/>
          <w:sz w:val="21"/>
          <w:szCs w:val="21"/>
        </w:rPr>
        <w:t xml:space="preserve"> separable or distinguishable from the device element; and</w:t>
      </w:r>
    </w:p>
    <w:p w:rsidR="00831A49" w:rsidRPr="001F36AE" w:rsidRDefault="00831A49" w:rsidP="00831A49">
      <w:pPr>
        <w:autoSpaceDE w:val="0"/>
        <w:autoSpaceDN w:val="0"/>
        <w:adjustRightInd w:val="0"/>
        <w:ind w:left="2160"/>
        <w:rPr>
          <w:rFonts w:ascii="Arial" w:eastAsiaTheme="minorHAnsi" w:hAnsi="Arial" w:cs="Arial"/>
          <w:color w:val="101010"/>
          <w:sz w:val="21"/>
          <w:szCs w:val="21"/>
        </w:rPr>
      </w:pPr>
      <w:r w:rsidRPr="001F36AE">
        <w:rPr>
          <w:rFonts w:ascii="Arial" w:eastAsiaTheme="minorHAnsi" w:hAnsi="Arial" w:cs="Arial"/>
          <w:color w:val="101010"/>
          <w:sz w:val="21"/>
          <w:szCs w:val="21"/>
        </w:rPr>
        <w:t xml:space="preserve">(iii) </w:t>
      </w:r>
      <w:proofErr w:type="gramStart"/>
      <w:r w:rsidRPr="001F36AE">
        <w:rPr>
          <w:rFonts w:ascii="Arial" w:eastAsiaTheme="minorHAnsi" w:hAnsi="Arial" w:cs="Arial"/>
          <w:color w:val="101010"/>
          <w:sz w:val="21"/>
          <w:szCs w:val="21"/>
        </w:rPr>
        <w:t>all</w:t>
      </w:r>
      <w:proofErr w:type="gramEnd"/>
      <w:r w:rsidRPr="001F36AE">
        <w:rPr>
          <w:rFonts w:ascii="Arial" w:eastAsiaTheme="minorHAnsi" w:hAnsi="Arial" w:cs="Arial"/>
          <w:color w:val="101010"/>
          <w:sz w:val="21"/>
          <w:szCs w:val="21"/>
        </w:rPr>
        <w:t xml:space="preserve"> predominant characters are included in the trademark record submitted to the TMCH in the same order they appear in the mark.</w:t>
      </w:r>
    </w:p>
    <w:p w:rsidR="00831A49" w:rsidRPr="001F36AE" w:rsidRDefault="00831A49" w:rsidP="00831A49">
      <w:pPr>
        <w:tabs>
          <w:tab w:val="left" w:pos="1080"/>
        </w:tabs>
        <w:rPr>
          <w:rFonts w:ascii="Arial" w:hAnsi="Arial" w:cs="Arial"/>
          <w:sz w:val="20"/>
          <w:szCs w:val="20"/>
        </w:rPr>
      </w:pPr>
      <w:r w:rsidRPr="001F36AE">
        <w:rPr>
          <w:rFonts w:ascii="Arial" w:hAnsi="Arial" w:cs="Arial"/>
          <w:sz w:val="20"/>
          <w:szCs w:val="20"/>
        </w:rPr>
        <w:tab/>
      </w:r>
      <w:proofErr w:type="gramStart"/>
      <w:r w:rsidRPr="001F36AE">
        <w:rPr>
          <w:rFonts w:ascii="Arial" w:hAnsi="Arial" w:cs="Arial"/>
          <w:sz w:val="20"/>
          <w:szCs w:val="20"/>
        </w:rPr>
        <w:t>and</w:t>
      </w:r>
      <w:proofErr w:type="gramEnd"/>
      <w:r w:rsidRPr="001F36AE">
        <w:rPr>
          <w:rFonts w:ascii="Arial" w:hAnsi="Arial" w:cs="Arial"/>
          <w:sz w:val="20"/>
          <w:szCs w:val="20"/>
        </w:rPr>
        <w:t>;</w:t>
      </w:r>
    </w:p>
    <w:p w:rsidR="00831A49" w:rsidRPr="001F36AE" w:rsidRDefault="00AF03B5" w:rsidP="00831A49">
      <w:pPr>
        <w:pStyle w:val="ListParagraph"/>
        <w:numPr>
          <w:ilvl w:val="0"/>
          <w:numId w:val="24"/>
        </w:numPr>
        <w:autoSpaceDE w:val="0"/>
        <w:autoSpaceDN w:val="0"/>
        <w:adjustRightInd w:val="0"/>
        <w:rPr>
          <w:rFonts w:ascii="Arial" w:eastAsiaTheme="minorHAnsi" w:hAnsi="Arial" w:cs="Arial"/>
          <w:color w:val="101010"/>
          <w:sz w:val="21"/>
          <w:szCs w:val="21"/>
        </w:rPr>
      </w:pPr>
      <w:proofErr w:type="gramStart"/>
      <w:r w:rsidRPr="001F36AE">
        <w:rPr>
          <w:rFonts w:ascii="Arial" w:hAnsi="Arial" w:cs="Arial"/>
          <w:sz w:val="20"/>
          <w:szCs w:val="20"/>
        </w:rPr>
        <w:t>meet</w:t>
      </w:r>
      <w:proofErr w:type="gramEnd"/>
      <w:r w:rsidRPr="001F36AE">
        <w:rPr>
          <w:rFonts w:ascii="Arial" w:hAnsi="Arial" w:cs="Arial"/>
          <w:sz w:val="20"/>
          <w:szCs w:val="20"/>
        </w:rPr>
        <w:t xml:space="preserve"> all the requirements in the </w:t>
      </w:r>
      <w:r w:rsidR="0064663E">
        <w:rPr>
          <w:rFonts w:ascii="Arial" w:hAnsi="Arial" w:cs="Arial"/>
          <w:b/>
          <w:sz w:val="20"/>
          <w:szCs w:val="20"/>
        </w:rPr>
        <w:t>.KERRYPROPERTIES</w:t>
      </w:r>
      <w:r w:rsidRPr="001F36AE">
        <w:rPr>
          <w:rFonts w:ascii="Arial" w:hAnsi="Arial" w:cs="Arial"/>
          <w:b/>
          <w:sz w:val="20"/>
          <w:szCs w:val="20"/>
        </w:rPr>
        <w:t xml:space="preserve"> </w:t>
      </w:r>
      <w:r w:rsidRPr="001F36AE">
        <w:rPr>
          <w:rFonts w:ascii="Arial" w:hAnsi="Arial" w:cs="Arial"/>
          <w:sz w:val="20"/>
          <w:szCs w:val="20"/>
        </w:rPr>
        <w:t>TLD</w:t>
      </w:r>
      <w:r w:rsidR="00831A49" w:rsidRPr="001F36AE">
        <w:rPr>
          <w:rFonts w:ascii="Arial" w:hAnsi="Arial" w:cs="Arial"/>
          <w:sz w:val="20"/>
          <w:szCs w:val="20"/>
        </w:rPr>
        <w:t xml:space="preserve"> Registration Policy.  </w:t>
      </w:r>
      <w:r w:rsidR="00831A49" w:rsidRPr="001F36AE">
        <w:rPr>
          <w:rFonts w:ascii="Arial" w:eastAsiaTheme="minorHAnsi" w:hAnsi="Arial" w:cs="Arial"/>
          <w:color w:val="101010"/>
          <w:sz w:val="21"/>
          <w:szCs w:val="21"/>
        </w:rPr>
        <w:t>Registry Operator, via Registry Service Provider, will not accept a Sunrise Application unless the applied-for Domain Name meets the applicable requirements as defined in RFC 1035m 2181 and RFC 1123, including the following technical and syntax requirements. The Domain Name Label must:</w:t>
      </w:r>
    </w:p>
    <w:p w:rsidR="00831A49" w:rsidRPr="001F36AE" w:rsidRDefault="00831A49" w:rsidP="00831A49">
      <w:pPr>
        <w:pStyle w:val="ListParagraph"/>
        <w:numPr>
          <w:ilvl w:val="0"/>
          <w:numId w:val="25"/>
        </w:numPr>
        <w:autoSpaceDE w:val="0"/>
        <w:autoSpaceDN w:val="0"/>
        <w:adjustRightInd w:val="0"/>
        <w:rPr>
          <w:rFonts w:ascii="Arial" w:eastAsiaTheme="minorHAnsi" w:hAnsi="Arial" w:cs="Arial"/>
          <w:color w:val="101010"/>
          <w:sz w:val="21"/>
          <w:szCs w:val="21"/>
        </w:rPr>
      </w:pPr>
      <w:r w:rsidRPr="001F36AE">
        <w:rPr>
          <w:rFonts w:ascii="Arial" w:eastAsiaTheme="minorHAnsi" w:hAnsi="Arial" w:cs="Arial"/>
          <w:color w:val="101010"/>
          <w:sz w:val="21"/>
          <w:szCs w:val="21"/>
        </w:rPr>
        <w:t>if ASCII, consist exclusively of the letters A-Z, the numbers 0-9, and hyphens;</w:t>
      </w:r>
    </w:p>
    <w:p w:rsidR="00831A49" w:rsidRPr="001F36AE" w:rsidRDefault="00831A49" w:rsidP="00831A49">
      <w:pPr>
        <w:pStyle w:val="ListParagraph"/>
        <w:numPr>
          <w:ilvl w:val="0"/>
          <w:numId w:val="25"/>
        </w:numPr>
        <w:autoSpaceDE w:val="0"/>
        <w:autoSpaceDN w:val="0"/>
        <w:adjustRightInd w:val="0"/>
        <w:rPr>
          <w:rFonts w:ascii="Arial" w:eastAsiaTheme="minorHAnsi" w:hAnsi="Arial" w:cs="Arial"/>
          <w:color w:val="101010"/>
          <w:sz w:val="21"/>
          <w:szCs w:val="21"/>
        </w:rPr>
      </w:pPr>
      <w:r w:rsidRPr="001F36AE">
        <w:rPr>
          <w:rFonts w:ascii="Arial" w:eastAsiaTheme="minorHAnsi" w:hAnsi="Arial" w:cs="Arial"/>
          <w:color w:val="101010"/>
          <w:sz w:val="21"/>
          <w:szCs w:val="21"/>
        </w:rPr>
        <w:t>if non-ASCII (e.g., IDN), consist of language scripts offered by the Registry (as specified on the Registry Website);</w:t>
      </w:r>
    </w:p>
    <w:p w:rsidR="00831A49" w:rsidRPr="001F36AE" w:rsidRDefault="00831A49" w:rsidP="00831A49">
      <w:pPr>
        <w:pStyle w:val="ListParagraph"/>
        <w:numPr>
          <w:ilvl w:val="0"/>
          <w:numId w:val="25"/>
        </w:numPr>
        <w:autoSpaceDE w:val="0"/>
        <w:autoSpaceDN w:val="0"/>
        <w:adjustRightInd w:val="0"/>
        <w:rPr>
          <w:rFonts w:ascii="Arial" w:eastAsiaTheme="minorHAnsi" w:hAnsi="Arial" w:cs="Arial"/>
          <w:color w:val="101010"/>
          <w:sz w:val="21"/>
          <w:szCs w:val="21"/>
        </w:rPr>
      </w:pPr>
      <w:r w:rsidRPr="001F36AE">
        <w:rPr>
          <w:rFonts w:ascii="Arial" w:eastAsiaTheme="minorHAnsi" w:hAnsi="Arial" w:cs="Arial"/>
          <w:color w:val="101010"/>
          <w:sz w:val="21"/>
          <w:szCs w:val="21"/>
        </w:rPr>
        <w:t>not begin or end with a hyphen ('-');</w:t>
      </w:r>
    </w:p>
    <w:p w:rsidR="00831A49" w:rsidRPr="001F36AE" w:rsidRDefault="00831A49" w:rsidP="00831A49">
      <w:pPr>
        <w:pStyle w:val="ListParagraph"/>
        <w:numPr>
          <w:ilvl w:val="0"/>
          <w:numId w:val="25"/>
        </w:numPr>
        <w:autoSpaceDE w:val="0"/>
        <w:autoSpaceDN w:val="0"/>
        <w:adjustRightInd w:val="0"/>
        <w:rPr>
          <w:rFonts w:ascii="Arial" w:eastAsiaTheme="minorHAnsi" w:hAnsi="Arial" w:cs="Arial"/>
          <w:color w:val="101010"/>
          <w:sz w:val="21"/>
          <w:szCs w:val="21"/>
        </w:rPr>
      </w:pPr>
      <w:r w:rsidRPr="001F36AE">
        <w:rPr>
          <w:rFonts w:ascii="Arial" w:eastAsiaTheme="minorHAnsi" w:hAnsi="Arial" w:cs="Arial"/>
          <w:color w:val="101010"/>
          <w:sz w:val="21"/>
          <w:szCs w:val="21"/>
        </w:rPr>
        <w:t>not exceed 63 characters;</w:t>
      </w:r>
    </w:p>
    <w:p w:rsidR="00831A49" w:rsidRPr="001F36AE" w:rsidRDefault="00831A49" w:rsidP="00831A49">
      <w:pPr>
        <w:pStyle w:val="ListParagraph"/>
        <w:numPr>
          <w:ilvl w:val="0"/>
          <w:numId w:val="25"/>
        </w:numPr>
        <w:autoSpaceDE w:val="0"/>
        <w:autoSpaceDN w:val="0"/>
        <w:adjustRightInd w:val="0"/>
        <w:rPr>
          <w:rFonts w:ascii="Arial" w:eastAsiaTheme="minorHAnsi" w:hAnsi="Arial" w:cs="Arial"/>
          <w:color w:val="101010"/>
          <w:sz w:val="21"/>
          <w:szCs w:val="21"/>
        </w:rPr>
      </w:pPr>
      <w:r w:rsidRPr="001F36AE">
        <w:rPr>
          <w:rFonts w:ascii="Arial" w:eastAsiaTheme="minorHAnsi" w:hAnsi="Arial" w:cs="Arial"/>
          <w:color w:val="101010"/>
          <w:sz w:val="21"/>
          <w:szCs w:val="21"/>
        </w:rPr>
        <w:t>contains at least one character (not including the .***); and</w:t>
      </w:r>
    </w:p>
    <w:p w:rsidR="00831A49" w:rsidRDefault="00831A49" w:rsidP="00831A49">
      <w:pPr>
        <w:pStyle w:val="ListParagraph"/>
        <w:numPr>
          <w:ilvl w:val="0"/>
          <w:numId w:val="25"/>
        </w:numPr>
        <w:autoSpaceDE w:val="0"/>
        <w:autoSpaceDN w:val="0"/>
        <w:adjustRightInd w:val="0"/>
        <w:rPr>
          <w:rFonts w:ascii="Arial" w:eastAsiaTheme="minorHAnsi" w:hAnsi="Arial" w:cs="Arial"/>
          <w:color w:val="101010"/>
          <w:sz w:val="21"/>
          <w:szCs w:val="21"/>
        </w:rPr>
      </w:pPr>
      <w:r w:rsidRPr="001F36AE">
        <w:rPr>
          <w:rFonts w:ascii="Arial" w:eastAsiaTheme="minorHAnsi" w:hAnsi="Arial" w:cs="Arial"/>
          <w:color w:val="101010"/>
          <w:sz w:val="21"/>
          <w:szCs w:val="21"/>
        </w:rPr>
        <w:t>not contain hyphens in the third and fourth position, except if they represent valid internationalized domain names in their ASCII encoding, namely where two consecutive hyphens (-) are used in the 3rd and 4th positions, when preceded by "</w:t>
      </w:r>
      <w:proofErr w:type="spellStart"/>
      <w:r w:rsidRPr="001F36AE">
        <w:rPr>
          <w:rFonts w:ascii="Arial" w:eastAsiaTheme="minorHAnsi" w:hAnsi="Arial" w:cs="Arial"/>
          <w:color w:val="101010"/>
          <w:sz w:val="21"/>
          <w:szCs w:val="21"/>
        </w:rPr>
        <w:t>xn</w:t>
      </w:r>
      <w:proofErr w:type="spellEnd"/>
      <w:r w:rsidRPr="001F36AE">
        <w:rPr>
          <w:rFonts w:ascii="Arial" w:eastAsiaTheme="minorHAnsi" w:hAnsi="Arial" w:cs="Arial"/>
          <w:color w:val="101010"/>
          <w:sz w:val="21"/>
          <w:szCs w:val="21"/>
        </w:rPr>
        <w:t>" and followed by a label that corresponds with an IDN containing characters referred to above.</w:t>
      </w:r>
    </w:p>
    <w:p w:rsidR="00F42560" w:rsidRDefault="00F42560" w:rsidP="00F42560">
      <w:pPr>
        <w:autoSpaceDE w:val="0"/>
        <w:autoSpaceDN w:val="0"/>
        <w:adjustRightInd w:val="0"/>
        <w:rPr>
          <w:rFonts w:ascii="Arial" w:eastAsiaTheme="minorHAnsi" w:hAnsi="Arial" w:cs="Arial"/>
          <w:color w:val="101010"/>
          <w:sz w:val="21"/>
          <w:szCs w:val="21"/>
        </w:rPr>
      </w:pPr>
    </w:p>
    <w:p w:rsidR="00F42560" w:rsidRPr="00F42560" w:rsidRDefault="00F42560" w:rsidP="00F42560">
      <w:pPr>
        <w:autoSpaceDE w:val="0"/>
        <w:autoSpaceDN w:val="0"/>
        <w:adjustRightInd w:val="0"/>
        <w:rPr>
          <w:rFonts w:ascii="Arial" w:eastAsiaTheme="minorHAnsi" w:hAnsi="Arial" w:cs="Arial"/>
          <w:color w:val="101010"/>
          <w:sz w:val="21"/>
          <w:szCs w:val="21"/>
        </w:rPr>
      </w:pPr>
    </w:p>
    <w:p w:rsidR="00831A49" w:rsidRPr="001F36AE" w:rsidRDefault="00831A49" w:rsidP="00831A49">
      <w:pPr>
        <w:pStyle w:val="ListParagraph"/>
        <w:autoSpaceDE w:val="0"/>
        <w:autoSpaceDN w:val="0"/>
        <w:adjustRightInd w:val="0"/>
        <w:ind w:left="1800"/>
        <w:rPr>
          <w:rFonts w:ascii="Arial" w:eastAsiaTheme="minorHAnsi" w:hAnsi="Arial" w:cs="Arial"/>
          <w:color w:val="101010"/>
          <w:sz w:val="21"/>
          <w:szCs w:val="21"/>
        </w:rPr>
      </w:pPr>
    </w:p>
    <w:p w:rsidR="00831A49" w:rsidRPr="001F36AE" w:rsidRDefault="00831A49" w:rsidP="00831A49">
      <w:pPr>
        <w:tabs>
          <w:tab w:val="left" w:pos="360"/>
        </w:tabs>
        <w:autoSpaceDE w:val="0"/>
        <w:autoSpaceDN w:val="0"/>
        <w:adjustRightInd w:val="0"/>
        <w:ind w:firstLine="360"/>
        <w:rPr>
          <w:rFonts w:ascii="Arial" w:eastAsiaTheme="minorHAnsi" w:hAnsi="Arial" w:cs="Arial"/>
          <w:b/>
          <w:color w:val="101010"/>
          <w:sz w:val="22"/>
          <w:szCs w:val="22"/>
        </w:rPr>
      </w:pPr>
      <w:r w:rsidRPr="001F36AE">
        <w:rPr>
          <w:rFonts w:ascii="Arial" w:eastAsiaTheme="minorHAnsi" w:hAnsi="Arial" w:cs="Arial"/>
          <w:b/>
          <w:color w:val="101010"/>
          <w:sz w:val="22"/>
          <w:szCs w:val="22"/>
        </w:rPr>
        <w:lastRenderedPageBreak/>
        <w:t>2.4. Sunrise Application Validation</w:t>
      </w:r>
    </w:p>
    <w:p w:rsidR="00831A49" w:rsidRPr="001F36AE" w:rsidRDefault="00831A49" w:rsidP="00831A49">
      <w:pPr>
        <w:autoSpaceDE w:val="0"/>
        <w:autoSpaceDN w:val="0"/>
        <w:adjustRightInd w:val="0"/>
        <w:ind w:firstLine="360"/>
        <w:rPr>
          <w:rFonts w:ascii="Arial" w:eastAsiaTheme="minorHAnsi" w:hAnsi="Arial" w:cs="Arial"/>
          <w:color w:val="101010"/>
          <w:sz w:val="21"/>
          <w:szCs w:val="21"/>
        </w:rPr>
      </w:pPr>
      <w:r w:rsidRPr="001F36AE">
        <w:rPr>
          <w:rFonts w:ascii="Arial" w:eastAsiaTheme="minorHAnsi" w:hAnsi="Arial" w:cs="Arial"/>
          <w:color w:val="101010"/>
          <w:sz w:val="21"/>
          <w:szCs w:val="21"/>
        </w:rPr>
        <w:t>Sunrise Applications submitted during the Sunrise Period are subject to validation before the</w:t>
      </w:r>
    </w:p>
    <w:p w:rsidR="00831A49" w:rsidRPr="001F36AE" w:rsidRDefault="00831A49" w:rsidP="00831A49">
      <w:pPr>
        <w:autoSpaceDE w:val="0"/>
        <w:autoSpaceDN w:val="0"/>
        <w:adjustRightInd w:val="0"/>
        <w:ind w:left="360"/>
        <w:rPr>
          <w:rFonts w:ascii="Arial" w:hAnsi="Arial" w:cs="Arial"/>
          <w:sz w:val="20"/>
          <w:szCs w:val="20"/>
        </w:rPr>
      </w:pPr>
      <w:r w:rsidRPr="001F36AE">
        <w:rPr>
          <w:rFonts w:ascii="Arial" w:eastAsiaTheme="minorHAnsi" w:hAnsi="Arial" w:cs="Arial"/>
          <w:color w:val="101010"/>
          <w:sz w:val="21"/>
          <w:szCs w:val="21"/>
        </w:rPr>
        <w:t>Registry will issue a Domain Name registration. Upon request of the Registry a Validation Agent will attempt to verify that the domain name applied for during the Sunrise Period is an identical match to the Validated Mark in the SMD File, meaning that the domain consists of the complete and identical textual elements of the mark in accordance with section 4.2.1 of the TMCH Guidelines. The Validation Agent will then inform the Registry of its findings. If the Validation Agent is unable to validate the Sunrise Application, the Registry will reject that Sunrise Application.</w:t>
      </w:r>
    </w:p>
    <w:p w:rsidR="00777C88" w:rsidRPr="001F36AE" w:rsidRDefault="00777C88" w:rsidP="000D1AE7">
      <w:pPr>
        <w:rPr>
          <w:rFonts w:ascii="Arial" w:hAnsi="Arial" w:cs="Arial"/>
          <w:b/>
          <w:sz w:val="20"/>
          <w:szCs w:val="20"/>
        </w:rPr>
      </w:pPr>
    </w:p>
    <w:p w:rsidR="00605A70" w:rsidRPr="001F36AE" w:rsidRDefault="00605A70" w:rsidP="00605A70">
      <w:pPr>
        <w:rPr>
          <w:rFonts w:ascii="Arial" w:hAnsi="Arial" w:cs="Arial"/>
          <w:sz w:val="20"/>
          <w:szCs w:val="20"/>
        </w:rPr>
      </w:pPr>
    </w:p>
    <w:p w:rsidR="00605A70" w:rsidRPr="001F36AE" w:rsidRDefault="00AC3D7E" w:rsidP="00605A70">
      <w:pPr>
        <w:pStyle w:val="ListParagraph"/>
        <w:numPr>
          <w:ilvl w:val="0"/>
          <w:numId w:val="15"/>
        </w:numPr>
        <w:rPr>
          <w:rFonts w:ascii="Arial" w:hAnsi="Arial" w:cs="Arial"/>
          <w:b/>
          <w:sz w:val="20"/>
          <w:szCs w:val="20"/>
        </w:rPr>
      </w:pPr>
      <w:r w:rsidRPr="001F36AE">
        <w:rPr>
          <w:rFonts w:ascii="Arial" w:hAnsi="Arial" w:cs="Arial"/>
          <w:b/>
          <w:sz w:val="20"/>
          <w:szCs w:val="20"/>
        </w:rPr>
        <w:t xml:space="preserve">SUNRISE DISPUTE RESOLUTION </w:t>
      </w:r>
    </w:p>
    <w:p w:rsidR="00AC3D7E" w:rsidRPr="001F36AE" w:rsidRDefault="00AC3D7E" w:rsidP="00AC3D7E">
      <w:pPr>
        <w:pStyle w:val="ListParagraph"/>
        <w:numPr>
          <w:ilvl w:val="0"/>
          <w:numId w:val="18"/>
        </w:numPr>
        <w:rPr>
          <w:rFonts w:ascii="Arial" w:hAnsi="Arial" w:cs="Arial"/>
          <w:b/>
          <w:vanish/>
          <w:sz w:val="20"/>
          <w:szCs w:val="20"/>
        </w:rPr>
      </w:pPr>
    </w:p>
    <w:p w:rsidR="00512F4B" w:rsidRPr="001F36AE" w:rsidRDefault="00512F4B" w:rsidP="00512F4B">
      <w:pPr>
        <w:ind w:left="360"/>
        <w:rPr>
          <w:rFonts w:ascii="Arial" w:hAnsi="Arial" w:cs="Arial"/>
          <w:b/>
          <w:sz w:val="20"/>
          <w:szCs w:val="20"/>
        </w:rPr>
      </w:pPr>
    </w:p>
    <w:p w:rsidR="00AC3D7E" w:rsidRPr="001F36AE" w:rsidRDefault="00AC3D7E" w:rsidP="00AC3D7E">
      <w:pPr>
        <w:pStyle w:val="ListParagraph"/>
        <w:numPr>
          <w:ilvl w:val="1"/>
          <w:numId w:val="18"/>
        </w:numPr>
        <w:rPr>
          <w:rFonts w:ascii="Arial" w:hAnsi="Arial" w:cs="Arial"/>
          <w:b/>
          <w:sz w:val="20"/>
          <w:szCs w:val="20"/>
        </w:rPr>
      </w:pPr>
      <w:r w:rsidRPr="001F36AE">
        <w:rPr>
          <w:rFonts w:ascii="Arial" w:hAnsi="Arial" w:cs="Arial"/>
          <w:b/>
          <w:sz w:val="20"/>
          <w:szCs w:val="20"/>
        </w:rPr>
        <w:t xml:space="preserve">Submission of a complaint </w:t>
      </w:r>
    </w:p>
    <w:p w:rsidR="00AC3D7E" w:rsidRPr="001F36AE" w:rsidRDefault="00E17355" w:rsidP="00AC3D7E">
      <w:pPr>
        <w:ind w:left="360"/>
        <w:rPr>
          <w:rFonts w:ascii="Arial" w:hAnsi="Arial" w:cs="Arial"/>
          <w:sz w:val="20"/>
          <w:szCs w:val="20"/>
        </w:rPr>
      </w:pPr>
      <w:r w:rsidRPr="001F36AE">
        <w:rPr>
          <w:rFonts w:ascii="Arial" w:hAnsi="Arial" w:cs="Arial"/>
          <w:sz w:val="20"/>
          <w:szCs w:val="20"/>
        </w:rPr>
        <w:t xml:space="preserve">Any person or legal entity may file a complaint under the SDRP in accordance with the </w:t>
      </w:r>
      <w:r w:rsidR="0064663E">
        <w:rPr>
          <w:rFonts w:ascii="Arial" w:hAnsi="Arial" w:cs="Arial"/>
          <w:b/>
          <w:sz w:val="20"/>
          <w:szCs w:val="20"/>
        </w:rPr>
        <w:t>.KERRYPROPERTIES</w:t>
      </w:r>
      <w:r w:rsidRPr="001F36AE">
        <w:rPr>
          <w:rFonts w:ascii="Arial" w:hAnsi="Arial" w:cs="Arial"/>
          <w:b/>
          <w:sz w:val="20"/>
          <w:szCs w:val="20"/>
        </w:rPr>
        <w:t xml:space="preserve"> </w:t>
      </w:r>
      <w:r w:rsidRPr="001F36AE">
        <w:rPr>
          <w:rFonts w:ascii="Arial" w:hAnsi="Arial" w:cs="Arial"/>
          <w:sz w:val="20"/>
          <w:szCs w:val="20"/>
        </w:rPr>
        <w:t xml:space="preserve">TLD </w:t>
      </w:r>
      <w:r w:rsidR="00EB4E7C" w:rsidRPr="001F36AE">
        <w:rPr>
          <w:rFonts w:ascii="Arial" w:hAnsi="Arial" w:cs="Arial"/>
          <w:sz w:val="20"/>
          <w:szCs w:val="20"/>
        </w:rPr>
        <w:t>Registry Rules</w:t>
      </w:r>
      <w:r w:rsidRPr="001F36AE">
        <w:rPr>
          <w:rFonts w:ascii="Arial" w:hAnsi="Arial" w:cs="Arial"/>
          <w:sz w:val="20"/>
          <w:szCs w:val="20"/>
        </w:rPr>
        <w:t>.</w:t>
      </w:r>
      <w:r w:rsidR="00724F0D" w:rsidRPr="001F36AE">
        <w:rPr>
          <w:rFonts w:ascii="Arial" w:hAnsi="Arial" w:cs="Arial"/>
          <w:sz w:val="20"/>
          <w:szCs w:val="20"/>
        </w:rPr>
        <w:t xml:space="preserve"> </w:t>
      </w:r>
    </w:p>
    <w:p w:rsidR="00AC3D7E" w:rsidRPr="001F36AE" w:rsidRDefault="00AC3D7E" w:rsidP="00AC3D7E">
      <w:pPr>
        <w:pStyle w:val="ListParagraph"/>
        <w:ind w:left="792"/>
        <w:rPr>
          <w:rFonts w:ascii="Arial" w:hAnsi="Arial" w:cs="Arial"/>
          <w:b/>
          <w:sz w:val="20"/>
          <w:szCs w:val="20"/>
        </w:rPr>
      </w:pPr>
    </w:p>
    <w:p w:rsidR="00E17355" w:rsidRPr="001F36AE" w:rsidRDefault="00E17355" w:rsidP="00AC3D7E">
      <w:pPr>
        <w:pStyle w:val="ListParagraph"/>
        <w:numPr>
          <w:ilvl w:val="1"/>
          <w:numId w:val="18"/>
        </w:numPr>
        <w:rPr>
          <w:rFonts w:ascii="Arial" w:hAnsi="Arial" w:cs="Arial"/>
          <w:b/>
          <w:sz w:val="20"/>
          <w:szCs w:val="20"/>
        </w:rPr>
      </w:pPr>
      <w:r w:rsidRPr="001F36AE">
        <w:rPr>
          <w:rFonts w:ascii="Arial" w:hAnsi="Arial" w:cs="Arial"/>
          <w:b/>
          <w:sz w:val="20"/>
          <w:szCs w:val="20"/>
        </w:rPr>
        <w:t xml:space="preserve">Grounds for complaint </w:t>
      </w:r>
    </w:p>
    <w:p w:rsidR="00E17355" w:rsidRPr="001F36AE" w:rsidRDefault="00E17355" w:rsidP="00E17355">
      <w:pPr>
        <w:ind w:left="360"/>
        <w:rPr>
          <w:rFonts w:ascii="Arial" w:hAnsi="Arial" w:cs="Arial"/>
          <w:sz w:val="20"/>
          <w:szCs w:val="20"/>
        </w:rPr>
      </w:pPr>
      <w:r w:rsidRPr="001F36AE">
        <w:rPr>
          <w:rFonts w:ascii="Arial" w:hAnsi="Arial" w:cs="Arial"/>
          <w:sz w:val="20"/>
          <w:szCs w:val="20"/>
        </w:rPr>
        <w:t xml:space="preserve">A complaint under the SDRP must be filed on the following grounds: </w:t>
      </w:r>
    </w:p>
    <w:p w:rsidR="00E17355" w:rsidRPr="001F36AE" w:rsidRDefault="00E17355" w:rsidP="00E17355">
      <w:pPr>
        <w:pStyle w:val="ListParagraph"/>
        <w:numPr>
          <w:ilvl w:val="0"/>
          <w:numId w:val="20"/>
        </w:numPr>
        <w:rPr>
          <w:rFonts w:ascii="Arial" w:hAnsi="Arial" w:cs="Arial"/>
          <w:sz w:val="20"/>
          <w:szCs w:val="20"/>
        </w:rPr>
      </w:pPr>
      <w:r w:rsidRPr="001F36AE">
        <w:rPr>
          <w:rFonts w:ascii="Arial" w:hAnsi="Arial" w:cs="Arial"/>
          <w:sz w:val="20"/>
          <w:szCs w:val="20"/>
        </w:rPr>
        <w:t>at the time the challenged domain name was registered, the registrant did not hold a trademark registration of national effect (or regional effect) or the trademark had not been court-validated or protected by statute or treaty;</w:t>
      </w:r>
    </w:p>
    <w:p w:rsidR="00E17355" w:rsidRPr="001F36AE" w:rsidRDefault="00E17355" w:rsidP="00E17355">
      <w:pPr>
        <w:pStyle w:val="ListParagraph"/>
        <w:numPr>
          <w:ilvl w:val="0"/>
          <w:numId w:val="20"/>
        </w:numPr>
        <w:rPr>
          <w:rFonts w:ascii="Arial" w:hAnsi="Arial" w:cs="Arial"/>
          <w:sz w:val="20"/>
          <w:szCs w:val="20"/>
        </w:rPr>
      </w:pPr>
      <w:r w:rsidRPr="001F36AE">
        <w:rPr>
          <w:rFonts w:ascii="Arial" w:hAnsi="Arial" w:cs="Arial"/>
          <w:sz w:val="20"/>
          <w:szCs w:val="20"/>
        </w:rPr>
        <w:t xml:space="preserve">the domain name is not </w:t>
      </w:r>
      <w:r w:rsidR="001F3C9D" w:rsidRPr="001F36AE">
        <w:rPr>
          <w:rFonts w:ascii="Arial" w:hAnsi="Arial" w:cs="Arial"/>
          <w:sz w:val="20"/>
          <w:szCs w:val="20"/>
        </w:rPr>
        <w:t>i</w:t>
      </w:r>
      <w:r w:rsidRPr="001F36AE">
        <w:rPr>
          <w:rFonts w:ascii="Arial" w:hAnsi="Arial" w:cs="Arial"/>
          <w:sz w:val="20"/>
          <w:szCs w:val="20"/>
        </w:rPr>
        <w:t xml:space="preserve">dentical </w:t>
      </w:r>
      <w:r w:rsidR="001F3C9D" w:rsidRPr="001F36AE">
        <w:rPr>
          <w:rFonts w:ascii="Arial" w:hAnsi="Arial" w:cs="Arial"/>
          <w:sz w:val="20"/>
          <w:szCs w:val="20"/>
        </w:rPr>
        <w:t xml:space="preserve">to the mark </w:t>
      </w:r>
      <w:r w:rsidRPr="001F36AE">
        <w:rPr>
          <w:rFonts w:ascii="Arial" w:hAnsi="Arial" w:cs="Arial"/>
          <w:sz w:val="20"/>
          <w:szCs w:val="20"/>
        </w:rPr>
        <w:t xml:space="preserve">on which the registrant based its Sunrise registration; </w:t>
      </w:r>
    </w:p>
    <w:p w:rsidR="00E17355" w:rsidRPr="001F36AE" w:rsidRDefault="00E17355" w:rsidP="00E17355">
      <w:pPr>
        <w:pStyle w:val="ListParagraph"/>
        <w:numPr>
          <w:ilvl w:val="0"/>
          <w:numId w:val="20"/>
        </w:numPr>
        <w:rPr>
          <w:rFonts w:ascii="Arial" w:hAnsi="Arial" w:cs="Arial"/>
          <w:sz w:val="20"/>
          <w:szCs w:val="20"/>
        </w:rPr>
      </w:pPr>
      <w:r w:rsidRPr="001F36AE">
        <w:rPr>
          <w:rFonts w:ascii="Arial" w:hAnsi="Arial" w:cs="Arial"/>
          <w:sz w:val="20"/>
          <w:szCs w:val="20"/>
        </w:rPr>
        <w:t xml:space="preserve">the trademark registration on which the registrant based its Sunrise registration is not of national effect (or regional effect) or the trademark had not been court-validated or protected by statute or treaty; </w:t>
      </w:r>
    </w:p>
    <w:p w:rsidR="00F06084" w:rsidRPr="001F36AE" w:rsidRDefault="00F06084" w:rsidP="00E17355">
      <w:pPr>
        <w:pStyle w:val="ListParagraph"/>
        <w:numPr>
          <w:ilvl w:val="0"/>
          <w:numId w:val="20"/>
        </w:numPr>
        <w:rPr>
          <w:rFonts w:ascii="Arial" w:hAnsi="Arial" w:cs="Arial"/>
          <w:sz w:val="20"/>
          <w:szCs w:val="20"/>
        </w:rPr>
      </w:pPr>
      <w:r w:rsidRPr="001F36AE">
        <w:rPr>
          <w:rFonts w:ascii="Arial" w:hAnsi="Arial" w:cs="Arial"/>
          <w:sz w:val="20"/>
          <w:szCs w:val="20"/>
        </w:rPr>
        <w:t>the trademark registration on which the domain name registrant based its Sunrise registration did not issue on or before the effective date of the Registry Agreement and was not applied for on or before ICANN announced the applications received; or</w:t>
      </w:r>
    </w:p>
    <w:p w:rsidR="00E17355" w:rsidRPr="001F36AE" w:rsidRDefault="00E17355" w:rsidP="00E17355">
      <w:pPr>
        <w:pStyle w:val="ListParagraph"/>
        <w:numPr>
          <w:ilvl w:val="0"/>
          <w:numId w:val="20"/>
        </w:numPr>
        <w:rPr>
          <w:rFonts w:ascii="Arial" w:hAnsi="Arial" w:cs="Arial"/>
          <w:sz w:val="20"/>
          <w:szCs w:val="20"/>
        </w:rPr>
      </w:pPr>
      <w:proofErr w:type="gramStart"/>
      <w:r w:rsidRPr="001F36AE">
        <w:rPr>
          <w:rFonts w:ascii="Arial" w:hAnsi="Arial" w:cs="Arial"/>
          <w:sz w:val="20"/>
          <w:szCs w:val="20"/>
        </w:rPr>
        <w:t>the</w:t>
      </w:r>
      <w:proofErr w:type="gramEnd"/>
      <w:r w:rsidRPr="001F36AE">
        <w:rPr>
          <w:rFonts w:ascii="Arial" w:hAnsi="Arial" w:cs="Arial"/>
          <w:sz w:val="20"/>
          <w:szCs w:val="20"/>
        </w:rPr>
        <w:t xml:space="preserve"> registration eligibility criteria set out in </w:t>
      </w:r>
      <w:r w:rsidR="001233C7" w:rsidRPr="001F36AE">
        <w:rPr>
          <w:rFonts w:ascii="Arial" w:hAnsi="Arial" w:cs="Arial"/>
          <w:sz w:val="20"/>
          <w:szCs w:val="20"/>
        </w:rPr>
        <w:t xml:space="preserve">the </w:t>
      </w:r>
      <w:r w:rsidR="0064663E">
        <w:rPr>
          <w:rFonts w:ascii="Arial" w:hAnsi="Arial" w:cs="Arial"/>
          <w:b/>
          <w:sz w:val="20"/>
          <w:szCs w:val="20"/>
        </w:rPr>
        <w:t>.KERRYPROPERTIES</w:t>
      </w:r>
      <w:r w:rsidR="001233C7" w:rsidRPr="001F36AE">
        <w:rPr>
          <w:rFonts w:ascii="Arial" w:hAnsi="Arial" w:cs="Arial"/>
          <w:b/>
          <w:sz w:val="20"/>
          <w:szCs w:val="20"/>
        </w:rPr>
        <w:t xml:space="preserve"> </w:t>
      </w:r>
      <w:r w:rsidR="001233C7" w:rsidRPr="001F36AE">
        <w:rPr>
          <w:rFonts w:ascii="Arial" w:hAnsi="Arial" w:cs="Arial"/>
          <w:sz w:val="20"/>
          <w:szCs w:val="20"/>
        </w:rPr>
        <w:t xml:space="preserve">TLD </w:t>
      </w:r>
      <w:r w:rsidRPr="001F36AE">
        <w:rPr>
          <w:rFonts w:ascii="Arial" w:hAnsi="Arial" w:cs="Arial"/>
          <w:sz w:val="20"/>
          <w:szCs w:val="20"/>
        </w:rPr>
        <w:t>Registration Policy were not met by the registrant at the time of the Sunrise registration.</w:t>
      </w:r>
    </w:p>
    <w:p w:rsidR="00FD1E48" w:rsidRPr="001F36AE" w:rsidRDefault="00FD1E48" w:rsidP="00FD1E48">
      <w:pPr>
        <w:pStyle w:val="ListParagraph"/>
        <w:ind w:left="1080"/>
        <w:rPr>
          <w:rFonts w:ascii="Arial" w:hAnsi="Arial" w:cs="Arial"/>
          <w:sz w:val="20"/>
          <w:szCs w:val="20"/>
        </w:rPr>
      </w:pPr>
    </w:p>
    <w:p w:rsidR="00E17355" w:rsidRPr="001F36AE" w:rsidRDefault="00053080" w:rsidP="00AC3D7E">
      <w:pPr>
        <w:pStyle w:val="ListParagraph"/>
        <w:numPr>
          <w:ilvl w:val="1"/>
          <w:numId w:val="18"/>
        </w:numPr>
        <w:rPr>
          <w:rFonts w:ascii="Arial" w:hAnsi="Arial" w:cs="Arial"/>
          <w:b/>
          <w:sz w:val="20"/>
          <w:szCs w:val="20"/>
        </w:rPr>
      </w:pPr>
      <w:r w:rsidRPr="001F36AE">
        <w:rPr>
          <w:rFonts w:ascii="Arial" w:hAnsi="Arial" w:cs="Arial"/>
          <w:b/>
          <w:sz w:val="20"/>
          <w:szCs w:val="20"/>
        </w:rPr>
        <w:t>Requirements for complaint</w:t>
      </w:r>
    </w:p>
    <w:p w:rsidR="00724F0D" w:rsidRPr="001F36AE" w:rsidRDefault="00724F0D" w:rsidP="00053080">
      <w:pPr>
        <w:ind w:left="360"/>
        <w:rPr>
          <w:rFonts w:ascii="Arial" w:hAnsi="Arial" w:cs="Arial"/>
          <w:sz w:val="20"/>
          <w:szCs w:val="20"/>
        </w:rPr>
      </w:pPr>
      <w:r w:rsidRPr="001F36AE">
        <w:rPr>
          <w:rFonts w:ascii="Arial" w:hAnsi="Arial" w:cs="Arial"/>
          <w:sz w:val="20"/>
          <w:szCs w:val="20"/>
        </w:rPr>
        <w:t>Such SDRP claim must be filed with the Registry Operator:</w:t>
      </w:r>
    </w:p>
    <w:p w:rsidR="00724F0D" w:rsidRPr="001F36AE" w:rsidRDefault="00724F0D" w:rsidP="00724F0D">
      <w:pPr>
        <w:pStyle w:val="ListParagraph"/>
        <w:numPr>
          <w:ilvl w:val="0"/>
          <w:numId w:val="21"/>
        </w:numPr>
        <w:rPr>
          <w:rFonts w:ascii="Arial" w:hAnsi="Arial" w:cs="Arial"/>
          <w:sz w:val="20"/>
          <w:szCs w:val="20"/>
        </w:rPr>
      </w:pPr>
      <w:r w:rsidRPr="001F36AE">
        <w:rPr>
          <w:rFonts w:ascii="Arial" w:hAnsi="Arial" w:cs="Arial"/>
          <w:sz w:val="20"/>
          <w:szCs w:val="20"/>
        </w:rPr>
        <w:t xml:space="preserve">along with any applicable fees (if any) as provided on </w:t>
      </w:r>
      <w:r w:rsidR="00D75FD2" w:rsidRPr="001F36AE">
        <w:rPr>
          <w:rFonts w:ascii="Arial" w:hAnsi="Arial" w:cs="Arial"/>
          <w:sz w:val="20"/>
          <w:szCs w:val="20"/>
        </w:rPr>
        <w:t>the Registry Operator’s website</w:t>
      </w:r>
      <w:r w:rsidRPr="001F36AE">
        <w:rPr>
          <w:rFonts w:ascii="Arial" w:hAnsi="Arial" w:cs="Arial"/>
          <w:sz w:val="20"/>
          <w:szCs w:val="20"/>
        </w:rPr>
        <w:t xml:space="preserve"> </w:t>
      </w:r>
    </w:p>
    <w:p w:rsidR="00724F0D" w:rsidRPr="001F36AE" w:rsidRDefault="00724F0D" w:rsidP="00724F0D">
      <w:pPr>
        <w:pStyle w:val="ListParagraph"/>
        <w:numPr>
          <w:ilvl w:val="0"/>
          <w:numId w:val="21"/>
        </w:numPr>
        <w:rPr>
          <w:rFonts w:ascii="Arial" w:hAnsi="Arial" w:cs="Arial"/>
          <w:sz w:val="20"/>
          <w:szCs w:val="20"/>
        </w:rPr>
      </w:pPr>
      <w:r w:rsidRPr="001F36AE">
        <w:rPr>
          <w:rFonts w:ascii="Arial" w:hAnsi="Arial" w:cs="Arial"/>
          <w:sz w:val="20"/>
          <w:szCs w:val="20"/>
        </w:rPr>
        <w:t>no later than 90 days after the end of the Sunrise Period</w:t>
      </w:r>
    </w:p>
    <w:p w:rsidR="00724F0D" w:rsidRPr="001F36AE" w:rsidRDefault="00D75FD2" w:rsidP="00724F0D">
      <w:pPr>
        <w:pStyle w:val="ListParagraph"/>
        <w:numPr>
          <w:ilvl w:val="0"/>
          <w:numId w:val="21"/>
        </w:numPr>
        <w:rPr>
          <w:rFonts w:ascii="Arial" w:hAnsi="Arial" w:cs="Arial"/>
          <w:sz w:val="20"/>
          <w:szCs w:val="20"/>
        </w:rPr>
      </w:pPr>
      <w:r w:rsidRPr="001F36AE">
        <w:rPr>
          <w:rFonts w:ascii="Arial" w:hAnsi="Arial" w:cs="Arial"/>
          <w:sz w:val="20"/>
          <w:szCs w:val="20"/>
        </w:rPr>
        <w:t xml:space="preserve">stating the applicable grounds together with any applicable supporting documentation </w:t>
      </w:r>
    </w:p>
    <w:p w:rsidR="00724F0D" w:rsidRPr="001F36AE" w:rsidRDefault="00724F0D" w:rsidP="00053080">
      <w:pPr>
        <w:ind w:left="360"/>
        <w:rPr>
          <w:rFonts w:ascii="Arial" w:hAnsi="Arial" w:cs="Arial"/>
          <w:sz w:val="20"/>
          <w:szCs w:val="20"/>
        </w:rPr>
      </w:pPr>
    </w:p>
    <w:p w:rsidR="00053080" w:rsidRPr="001F36AE" w:rsidRDefault="00D75FD2" w:rsidP="00053080">
      <w:pPr>
        <w:ind w:left="360"/>
        <w:rPr>
          <w:rFonts w:ascii="Arial" w:hAnsi="Arial" w:cs="Arial"/>
          <w:sz w:val="20"/>
          <w:szCs w:val="20"/>
        </w:rPr>
      </w:pPr>
      <w:r w:rsidRPr="001F36AE">
        <w:rPr>
          <w:rFonts w:ascii="Arial" w:hAnsi="Arial" w:cs="Arial"/>
          <w:sz w:val="20"/>
          <w:szCs w:val="20"/>
        </w:rPr>
        <w:t xml:space="preserve">The language of all communications and any supporting documentation </w:t>
      </w:r>
      <w:r w:rsidR="003E1058" w:rsidRPr="001F36AE">
        <w:rPr>
          <w:rFonts w:ascii="Arial" w:hAnsi="Arial" w:cs="Arial"/>
          <w:sz w:val="20"/>
          <w:szCs w:val="20"/>
        </w:rPr>
        <w:t xml:space="preserve">in relation to the SDRP </w:t>
      </w:r>
      <w:r w:rsidRPr="001F36AE">
        <w:rPr>
          <w:rFonts w:ascii="Arial" w:hAnsi="Arial" w:cs="Arial"/>
          <w:sz w:val="20"/>
          <w:szCs w:val="20"/>
        </w:rPr>
        <w:t xml:space="preserve">must be English. </w:t>
      </w:r>
    </w:p>
    <w:p w:rsidR="00D75FD2" w:rsidRPr="001F36AE" w:rsidRDefault="00D75FD2" w:rsidP="00053080">
      <w:pPr>
        <w:ind w:left="360"/>
        <w:rPr>
          <w:rFonts w:ascii="Arial" w:hAnsi="Arial" w:cs="Arial"/>
          <w:b/>
          <w:sz w:val="20"/>
          <w:szCs w:val="20"/>
        </w:rPr>
      </w:pPr>
    </w:p>
    <w:p w:rsidR="00E17355" w:rsidRPr="001F36AE" w:rsidRDefault="000B77F4" w:rsidP="00AC3D7E">
      <w:pPr>
        <w:pStyle w:val="ListParagraph"/>
        <w:numPr>
          <w:ilvl w:val="1"/>
          <w:numId w:val="18"/>
        </w:numPr>
        <w:rPr>
          <w:rFonts w:ascii="Arial" w:hAnsi="Arial" w:cs="Arial"/>
          <w:b/>
          <w:sz w:val="20"/>
          <w:szCs w:val="20"/>
        </w:rPr>
      </w:pPr>
      <w:r w:rsidRPr="001F36AE">
        <w:rPr>
          <w:rFonts w:ascii="Arial" w:hAnsi="Arial" w:cs="Arial"/>
          <w:b/>
          <w:sz w:val="20"/>
          <w:szCs w:val="20"/>
        </w:rPr>
        <w:t xml:space="preserve">Dispute Resolution </w:t>
      </w:r>
    </w:p>
    <w:p w:rsidR="003E1058" w:rsidRPr="001F36AE" w:rsidRDefault="00D75FD2" w:rsidP="00D75FD2">
      <w:pPr>
        <w:ind w:left="360"/>
        <w:rPr>
          <w:rFonts w:ascii="Arial" w:hAnsi="Arial" w:cs="Arial"/>
          <w:sz w:val="20"/>
          <w:szCs w:val="20"/>
        </w:rPr>
      </w:pPr>
      <w:r w:rsidRPr="001F36AE">
        <w:rPr>
          <w:rFonts w:ascii="Arial" w:hAnsi="Arial" w:cs="Arial"/>
          <w:sz w:val="20"/>
          <w:szCs w:val="20"/>
        </w:rPr>
        <w:t xml:space="preserve">Upon receipt of the SDRP claim, </w:t>
      </w:r>
      <w:r w:rsidR="000B77F4" w:rsidRPr="001F36AE">
        <w:rPr>
          <w:rFonts w:ascii="Arial" w:hAnsi="Arial" w:cs="Arial"/>
          <w:sz w:val="20"/>
          <w:szCs w:val="20"/>
        </w:rPr>
        <w:t xml:space="preserve">Registry Operator will attempt to resolve the complaint internally. If the Registry Operator in its sole discretion is unable to resolve the dispute, Registry Operator will notify complainant to submit its complaint </w:t>
      </w:r>
      <w:r w:rsidR="003E1058" w:rsidRPr="001F36AE">
        <w:rPr>
          <w:rFonts w:ascii="Arial" w:hAnsi="Arial" w:cs="Arial"/>
          <w:sz w:val="20"/>
          <w:szCs w:val="20"/>
        </w:rPr>
        <w:t xml:space="preserve">to a Provider. In the event the complainant proceeds to submit the complaint to the Provider, complainant is responsible for meeting all requirements and supplemental instruction by that Provider and to pay all fees charged by that Provider. </w:t>
      </w:r>
    </w:p>
    <w:p w:rsidR="00D75FD2" w:rsidRPr="001F36AE" w:rsidRDefault="00D75FD2" w:rsidP="00D75FD2">
      <w:pPr>
        <w:ind w:left="360"/>
        <w:rPr>
          <w:rFonts w:ascii="Arial" w:hAnsi="Arial" w:cs="Arial"/>
          <w:sz w:val="20"/>
          <w:szCs w:val="20"/>
        </w:rPr>
      </w:pPr>
    </w:p>
    <w:p w:rsidR="00D75FD2" w:rsidRPr="001F36AE" w:rsidRDefault="006B0B37" w:rsidP="00AC3D7E">
      <w:pPr>
        <w:pStyle w:val="ListParagraph"/>
        <w:numPr>
          <w:ilvl w:val="1"/>
          <w:numId w:val="18"/>
        </w:numPr>
        <w:rPr>
          <w:rFonts w:ascii="Arial" w:hAnsi="Arial" w:cs="Arial"/>
          <w:b/>
          <w:sz w:val="20"/>
          <w:szCs w:val="20"/>
        </w:rPr>
      </w:pPr>
      <w:r w:rsidRPr="001F36AE">
        <w:rPr>
          <w:rFonts w:ascii="Arial" w:hAnsi="Arial" w:cs="Arial"/>
          <w:b/>
          <w:sz w:val="20"/>
          <w:szCs w:val="20"/>
        </w:rPr>
        <w:t>Decision</w:t>
      </w:r>
    </w:p>
    <w:p w:rsidR="006B0B37" w:rsidRPr="001F36AE" w:rsidRDefault="006B0B37" w:rsidP="006B0B37">
      <w:pPr>
        <w:ind w:left="360"/>
        <w:rPr>
          <w:rFonts w:ascii="Arial" w:hAnsi="Arial" w:cs="Arial"/>
          <w:sz w:val="20"/>
          <w:szCs w:val="20"/>
        </w:rPr>
      </w:pPr>
      <w:r w:rsidRPr="001F36AE">
        <w:rPr>
          <w:rFonts w:ascii="Arial" w:hAnsi="Arial" w:cs="Arial"/>
          <w:sz w:val="20"/>
          <w:szCs w:val="20"/>
        </w:rPr>
        <w:t xml:space="preserve">The implementation of any SDPR determination </w:t>
      </w:r>
      <w:proofErr w:type="gramStart"/>
      <w:r w:rsidRPr="001F36AE">
        <w:rPr>
          <w:rFonts w:ascii="Arial" w:hAnsi="Arial" w:cs="Arial"/>
          <w:sz w:val="20"/>
          <w:szCs w:val="20"/>
        </w:rPr>
        <w:t>will be managed</w:t>
      </w:r>
      <w:proofErr w:type="gramEnd"/>
      <w:r w:rsidRPr="001F36AE">
        <w:rPr>
          <w:rFonts w:ascii="Arial" w:hAnsi="Arial" w:cs="Arial"/>
          <w:sz w:val="20"/>
          <w:szCs w:val="20"/>
        </w:rPr>
        <w:t xml:space="preserve"> by the Registry Operator in its sole discretion, in accordance with the determination of the Provider and the </w:t>
      </w:r>
      <w:r w:rsidR="0064663E">
        <w:rPr>
          <w:rFonts w:ascii="Arial" w:hAnsi="Arial" w:cs="Arial"/>
          <w:b/>
          <w:sz w:val="20"/>
          <w:szCs w:val="20"/>
        </w:rPr>
        <w:t>.KERRYPROPERTIES</w:t>
      </w:r>
      <w:r w:rsidRPr="001F36AE">
        <w:rPr>
          <w:rFonts w:ascii="Arial" w:hAnsi="Arial" w:cs="Arial"/>
          <w:sz w:val="20"/>
          <w:szCs w:val="20"/>
        </w:rPr>
        <w:t xml:space="preserve"> TLD </w:t>
      </w:r>
      <w:r w:rsidR="00EB4E7C" w:rsidRPr="001F36AE">
        <w:rPr>
          <w:rFonts w:ascii="Arial" w:hAnsi="Arial" w:cs="Arial"/>
          <w:sz w:val="20"/>
          <w:szCs w:val="20"/>
        </w:rPr>
        <w:t>Registry Rules</w:t>
      </w:r>
      <w:r w:rsidRPr="001F36AE">
        <w:rPr>
          <w:rFonts w:ascii="Arial" w:hAnsi="Arial" w:cs="Arial"/>
          <w:sz w:val="20"/>
          <w:szCs w:val="20"/>
        </w:rPr>
        <w:t xml:space="preserve">. </w:t>
      </w:r>
      <w:r w:rsidR="009D739E" w:rsidRPr="001F36AE">
        <w:rPr>
          <w:rFonts w:ascii="Arial" w:hAnsi="Arial" w:cs="Arial"/>
          <w:sz w:val="20"/>
          <w:szCs w:val="20"/>
        </w:rPr>
        <w:t>The decision made by the Provider shall be final.</w:t>
      </w:r>
    </w:p>
    <w:p w:rsidR="009D739E" w:rsidRPr="001F36AE" w:rsidRDefault="009D739E" w:rsidP="006B0B37">
      <w:pPr>
        <w:ind w:left="360"/>
        <w:rPr>
          <w:rFonts w:ascii="Arial" w:hAnsi="Arial" w:cs="Arial"/>
          <w:b/>
          <w:sz w:val="20"/>
          <w:szCs w:val="20"/>
        </w:rPr>
      </w:pPr>
    </w:p>
    <w:p w:rsidR="00AC3D7E" w:rsidRPr="001F36AE" w:rsidRDefault="00AC3D7E" w:rsidP="00AC3D7E">
      <w:pPr>
        <w:pStyle w:val="ListParagraph"/>
        <w:numPr>
          <w:ilvl w:val="1"/>
          <w:numId w:val="18"/>
        </w:numPr>
        <w:rPr>
          <w:rFonts w:ascii="Arial" w:hAnsi="Arial" w:cs="Arial"/>
          <w:b/>
          <w:sz w:val="20"/>
          <w:szCs w:val="20"/>
        </w:rPr>
      </w:pPr>
      <w:r w:rsidRPr="001F36AE">
        <w:rPr>
          <w:rFonts w:ascii="Arial" w:hAnsi="Arial" w:cs="Arial"/>
          <w:b/>
          <w:sz w:val="20"/>
          <w:szCs w:val="20"/>
        </w:rPr>
        <w:t xml:space="preserve"> </w:t>
      </w:r>
      <w:r w:rsidR="009738FA" w:rsidRPr="001F36AE">
        <w:rPr>
          <w:rFonts w:ascii="Arial" w:hAnsi="Arial" w:cs="Arial"/>
          <w:b/>
          <w:sz w:val="20"/>
          <w:szCs w:val="20"/>
        </w:rPr>
        <w:t>Indemnification</w:t>
      </w:r>
    </w:p>
    <w:p w:rsidR="009738FA" w:rsidRPr="001F36AE" w:rsidRDefault="009738FA" w:rsidP="009738FA">
      <w:pPr>
        <w:ind w:left="360"/>
        <w:rPr>
          <w:rFonts w:ascii="Arial" w:hAnsi="Arial" w:cs="Arial"/>
          <w:sz w:val="20"/>
          <w:szCs w:val="20"/>
        </w:rPr>
      </w:pPr>
      <w:r w:rsidRPr="001F36AE">
        <w:rPr>
          <w:rFonts w:ascii="Arial" w:hAnsi="Arial" w:cs="Arial"/>
          <w:sz w:val="20"/>
          <w:szCs w:val="20"/>
        </w:rPr>
        <w:t xml:space="preserve">The parties shall indemnity and hold harmless ICANN, Registry Operator, </w:t>
      </w:r>
      <w:r w:rsidR="00F2616C" w:rsidRPr="001F36AE">
        <w:rPr>
          <w:rFonts w:ascii="Arial" w:hAnsi="Arial" w:cs="Arial"/>
          <w:sz w:val="20"/>
          <w:szCs w:val="20"/>
        </w:rPr>
        <w:t>r</w:t>
      </w:r>
      <w:r w:rsidRPr="001F36AE">
        <w:rPr>
          <w:rFonts w:ascii="Arial" w:hAnsi="Arial" w:cs="Arial"/>
          <w:sz w:val="20"/>
          <w:szCs w:val="20"/>
        </w:rPr>
        <w:t xml:space="preserve">egistrar, Provider and their respective employees, officers and directors </w:t>
      </w:r>
      <w:r w:rsidR="00DE02EF" w:rsidRPr="001F36AE">
        <w:rPr>
          <w:rFonts w:ascii="Arial" w:hAnsi="Arial" w:cs="Arial"/>
          <w:sz w:val="20"/>
          <w:szCs w:val="20"/>
        </w:rPr>
        <w:t xml:space="preserve">(the “Indemnified Parties”) </w:t>
      </w:r>
      <w:r w:rsidRPr="001F36AE">
        <w:rPr>
          <w:rFonts w:ascii="Arial" w:hAnsi="Arial" w:cs="Arial"/>
          <w:sz w:val="20"/>
          <w:szCs w:val="20"/>
        </w:rPr>
        <w:t>against any claim brought or arising out of the SDRP action by it or any third party.</w:t>
      </w:r>
      <w:r w:rsidR="00DE02EF" w:rsidRPr="001F36AE">
        <w:rPr>
          <w:rFonts w:ascii="Arial" w:hAnsi="Arial" w:cs="Arial"/>
          <w:sz w:val="20"/>
          <w:szCs w:val="20"/>
        </w:rPr>
        <w:t xml:space="preserve"> Neither party may name the Indemnified Parties as a party or otherwise include the Indemnified Parties in any judicial proceeding relating to the dispute or the administration of the SDRP policy.</w:t>
      </w:r>
      <w:r w:rsidR="00F2616C" w:rsidRPr="001F36AE">
        <w:rPr>
          <w:rFonts w:ascii="Arial" w:hAnsi="Arial" w:cs="Arial"/>
          <w:sz w:val="20"/>
          <w:szCs w:val="20"/>
        </w:rPr>
        <w:t xml:space="preserve"> The Indemnified Parties shall not be liable to any party for any act or omission in connection with any administrative proceeding under this SDRP or the corresponding rules.</w:t>
      </w:r>
    </w:p>
    <w:p w:rsidR="009738FA" w:rsidRPr="001F36AE" w:rsidRDefault="009738FA" w:rsidP="009738FA">
      <w:pPr>
        <w:ind w:left="360"/>
        <w:rPr>
          <w:rFonts w:ascii="Arial" w:hAnsi="Arial" w:cs="Arial"/>
          <w:sz w:val="20"/>
          <w:szCs w:val="20"/>
        </w:rPr>
      </w:pPr>
    </w:p>
    <w:p w:rsidR="00F2616C" w:rsidRPr="001F36AE" w:rsidRDefault="009738FA" w:rsidP="00F2616C">
      <w:pPr>
        <w:pStyle w:val="ListParagraph"/>
        <w:numPr>
          <w:ilvl w:val="1"/>
          <w:numId w:val="18"/>
        </w:numPr>
        <w:rPr>
          <w:rFonts w:ascii="Arial" w:hAnsi="Arial" w:cs="Arial"/>
          <w:b/>
          <w:sz w:val="20"/>
          <w:szCs w:val="20"/>
        </w:rPr>
      </w:pPr>
      <w:r w:rsidRPr="001F36AE">
        <w:rPr>
          <w:rFonts w:ascii="Arial" w:hAnsi="Arial" w:cs="Arial"/>
          <w:b/>
          <w:sz w:val="20"/>
          <w:szCs w:val="20"/>
        </w:rPr>
        <w:t>Relations to other Proceedings</w:t>
      </w:r>
    </w:p>
    <w:p w:rsidR="00F2616C" w:rsidRPr="001F36AE" w:rsidRDefault="00F2616C" w:rsidP="00F2616C">
      <w:pPr>
        <w:ind w:left="360"/>
        <w:rPr>
          <w:rFonts w:ascii="Arial" w:hAnsi="Arial" w:cs="Arial"/>
          <w:sz w:val="20"/>
          <w:szCs w:val="20"/>
        </w:rPr>
      </w:pPr>
      <w:r w:rsidRPr="001F36AE">
        <w:rPr>
          <w:rFonts w:ascii="Arial" w:hAnsi="Arial" w:cs="Arial"/>
          <w:sz w:val="20"/>
          <w:szCs w:val="20"/>
        </w:rPr>
        <w:t xml:space="preserve">This SDRP is in addition to and complementary with the Uniform Domain Name Dispute Resolution Policy (“UDRP”), the Uniform Rapid Suspension System (“URS”) and any eligibility dispute policies adopted by ICANN or the Registry Operator. </w:t>
      </w:r>
    </w:p>
    <w:p w:rsidR="00F2616C" w:rsidRPr="001F36AE" w:rsidRDefault="00F2616C" w:rsidP="00F2616C">
      <w:pPr>
        <w:ind w:left="360"/>
        <w:rPr>
          <w:rFonts w:ascii="Arial" w:hAnsi="Arial" w:cs="Arial"/>
          <w:sz w:val="20"/>
          <w:szCs w:val="20"/>
        </w:rPr>
      </w:pPr>
    </w:p>
    <w:p w:rsidR="00F2616C" w:rsidRPr="001F36AE" w:rsidRDefault="00F2616C" w:rsidP="00F2616C">
      <w:pPr>
        <w:ind w:left="360"/>
        <w:rPr>
          <w:rFonts w:ascii="Arial" w:hAnsi="Arial" w:cs="Arial"/>
          <w:sz w:val="20"/>
          <w:szCs w:val="20"/>
        </w:rPr>
      </w:pPr>
      <w:r w:rsidRPr="001F36AE">
        <w:rPr>
          <w:rFonts w:ascii="Arial" w:hAnsi="Arial" w:cs="Arial"/>
          <w:sz w:val="20"/>
          <w:szCs w:val="20"/>
        </w:rPr>
        <w:t xml:space="preserve">Any disputes relating to the validity of an SMD File are subject to a separate TMCH dispute process and should be submitted to the TMCH using the process outlined at: </w:t>
      </w:r>
      <w:hyperlink r:id="rId7" w:history="1">
        <w:r w:rsidRPr="001F36AE">
          <w:rPr>
            <w:rStyle w:val="Hyperlink"/>
            <w:rFonts w:ascii="Arial" w:hAnsi="Arial" w:cs="Arial"/>
            <w:sz w:val="20"/>
            <w:szCs w:val="20"/>
          </w:rPr>
          <w:t>http://www.trademark-clearinghouse.com/dispute</w:t>
        </w:r>
      </w:hyperlink>
    </w:p>
    <w:p w:rsidR="00F2616C" w:rsidRPr="001F36AE" w:rsidRDefault="00F2616C" w:rsidP="00F2616C">
      <w:pPr>
        <w:ind w:left="360"/>
        <w:rPr>
          <w:rFonts w:ascii="Arial" w:hAnsi="Arial" w:cs="Arial"/>
          <w:b/>
          <w:sz w:val="20"/>
          <w:szCs w:val="20"/>
        </w:rPr>
      </w:pPr>
    </w:p>
    <w:p w:rsidR="00605A70" w:rsidRPr="001F36AE" w:rsidRDefault="00605A70" w:rsidP="00605A70">
      <w:pPr>
        <w:pStyle w:val="ListParagraph"/>
        <w:rPr>
          <w:rFonts w:ascii="Arial" w:hAnsi="Arial" w:cs="Arial"/>
          <w:b/>
          <w:sz w:val="20"/>
          <w:szCs w:val="20"/>
        </w:rPr>
      </w:pPr>
    </w:p>
    <w:p w:rsidR="00605A70" w:rsidRPr="001F36AE" w:rsidRDefault="00605A70" w:rsidP="00605A70">
      <w:pPr>
        <w:pStyle w:val="ListParagraph"/>
        <w:numPr>
          <w:ilvl w:val="0"/>
          <w:numId w:val="15"/>
        </w:numPr>
        <w:spacing w:after="120"/>
        <w:rPr>
          <w:rFonts w:ascii="Arial" w:hAnsi="Arial" w:cs="Arial"/>
          <w:b/>
          <w:sz w:val="20"/>
          <w:szCs w:val="20"/>
        </w:rPr>
      </w:pPr>
      <w:r w:rsidRPr="001F36AE">
        <w:rPr>
          <w:rFonts w:ascii="Arial" w:hAnsi="Arial" w:cs="Arial"/>
          <w:b/>
          <w:sz w:val="20"/>
          <w:szCs w:val="20"/>
        </w:rPr>
        <w:t>DEFINITIONS</w:t>
      </w:r>
    </w:p>
    <w:p w:rsidR="00761088" w:rsidRPr="001F36AE" w:rsidRDefault="00761088" w:rsidP="00A3563E">
      <w:pPr>
        <w:pStyle w:val="NormalDeed"/>
        <w:spacing w:after="120"/>
        <w:rPr>
          <w:rFonts w:ascii="Arial" w:hAnsi="Arial" w:cs="Arial"/>
          <w:b/>
          <w:i/>
          <w:sz w:val="20"/>
        </w:rPr>
      </w:pPr>
      <w:r w:rsidRPr="001F36AE">
        <w:rPr>
          <w:rFonts w:ascii="Arial" w:hAnsi="Arial" w:cs="Arial"/>
          <w:b/>
          <w:sz w:val="20"/>
        </w:rPr>
        <w:t>Affiliate</w:t>
      </w:r>
      <w:r w:rsidRPr="001F36AE">
        <w:rPr>
          <w:rFonts w:ascii="Arial" w:hAnsi="Arial" w:cs="Arial"/>
          <w:sz w:val="20"/>
        </w:rPr>
        <w:t xml:space="preserve"> </w:t>
      </w:r>
      <w:r w:rsidR="00B1094D" w:rsidRPr="001F36AE">
        <w:rPr>
          <w:rFonts w:ascii="Arial" w:hAnsi="Arial" w:cs="Arial"/>
          <w:i/>
          <w:sz w:val="20"/>
        </w:rPr>
        <w:t>has the same meaning as defined in Registry Agreement.</w:t>
      </w:r>
      <w:r w:rsidR="00B1094D" w:rsidRPr="001F36AE">
        <w:rPr>
          <w:rFonts w:ascii="Arial" w:hAnsi="Arial" w:cs="Arial"/>
          <w:sz w:val="20"/>
        </w:rPr>
        <w:t xml:space="preserve"> </w:t>
      </w:r>
    </w:p>
    <w:p w:rsidR="00761088" w:rsidRPr="001F36AE" w:rsidRDefault="00761088" w:rsidP="00A3563E">
      <w:pPr>
        <w:spacing w:after="120"/>
        <w:rPr>
          <w:rFonts w:ascii="Arial" w:hAnsi="Arial" w:cs="Arial"/>
          <w:sz w:val="20"/>
          <w:szCs w:val="20"/>
        </w:rPr>
      </w:pPr>
      <w:r w:rsidRPr="001F36AE">
        <w:rPr>
          <w:rFonts w:ascii="Arial" w:hAnsi="Arial" w:cs="Arial"/>
          <w:b/>
          <w:sz w:val="20"/>
          <w:szCs w:val="20"/>
        </w:rPr>
        <w:t>ICANN’s Dispute Policy</w:t>
      </w:r>
      <w:r w:rsidRPr="001F36AE">
        <w:rPr>
          <w:rFonts w:ascii="Arial" w:hAnsi="Arial" w:cs="Arial"/>
          <w:sz w:val="20"/>
          <w:szCs w:val="20"/>
        </w:rPr>
        <w:t xml:space="preserve"> </w:t>
      </w:r>
      <w:r w:rsidRPr="001F36AE">
        <w:rPr>
          <w:rFonts w:ascii="Arial" w:hAnsi="Arial" w:cs="Arial"/>
          <w:i/>
          <w:sz w:val="20"/>
          <w:szCs w:val="20"/>
        </w:rPr>
        <w:t>means the dispute policy currently known as the Uniform Domain Name Dispute Resolution Policy (UDRP) issued and as may be updated from time to time by the Internet Corporation of Assigned Names and Number (ICANN) and the Uniform Rapid Suspension (URS) (see Specification 7 of the Registry Agreement).</w:t>
      </w:r>
    </w:p>
    <w:p w:rsidR="009243C3" w:rsidRPr="001F36AE" w:rsidRDefault="009243C3" w:rsidP="00A3563E">
      <w:pPr>
        <w:spacing w:after="120"/>
        <w:rPr>
          <w:rFonts w:ascii="Arial" w:hAnsi="Arial" w:cs="Arial"/>
          <w:i/>
          <w:sz w:val="20"/>
          <w:szCs w:val="20"/>
        </w:rPr>
      </w:pPr>
      <w:r w:rsidRPr="001F36AE">
        <w:rPr>
          <w:rFonts w:ascii="Arial" w:hAnsi="Arial" w:cs="Arial"/>
          <w:b/>
          <w:sz w:val="20"/>
          <w:szCs w:val="20"/>
        </w:rPr>
        <w:t xml:space="preserve">Identical Match </w:t>
      </w:r>
      <w:r w:rsidRPr="001F36AE">
        <w:rPr>
          <w:rFonts w:ascii="Arial" w:hAnsi="Arial" w:cs="Arial"/>
          <w:i/>
          <w:sz w:val="20"/>
          <w:szCs w:val="20"/>
        </w:rPr>
        <w:t xml:space="preserve">means that the domain name requested for registration is identical match to the trademark submitted and verified by TMCH that the label consists of the complete and identical textual elements of the mark in accordance with section 4.2.1 of the TMCH Guidelines available </w:t>
      </w:r>
      <w:proofErr w:type="gramStart"/>
      <w:r w:rsidRPr="001F36AE">
        <w:rPr>
          <w:rFonts w:ascii="Arial" w:hAnsi="Arial" w:cs="Arial"/>
          <w:i/>
          <w:sz w:val="20"/>
          <w:szCs w:val="20"/>
        </w:rPr>
        <w:t>at :</w:t>
      </w:r>
      <w:proofErr w:type="gramEnd"/>
      <w:r w:rsidRPr="001F36AE">
        <w:rPr>
          <w:rFonts w:ascii="Arial" w:hAnsi="Arial" w:cs="Arial"/>
          <w:i/>
          <w:sz w:val="20"/>
          <w:szCs w:val="20"/>
        </w:rPr>
        <w:t xml:space="preserve">  </w:t>
      </w:r>
      <w:hyperlink r:id="rId8" w:history="1">
        <w:r w:rsidRPr="001F36AE">
          <w:rPr>
            <w:rStyle w:val="Hyperlink"/>
            <w:rFonts w:ascii="Arial" w:hAnsi="Arial" w:cs="Arial"/>
            <w:i/>
            <w:sz w:val="20"/>
            <w:szCs w:val="20"/>
          </w:rPr>
          <w:t>http://www.trademark-clearinghouse.com/content/trademark-clearinghouse-guidelines-published</w:t>
        </w:r>
      </w:hyperlink>
    </w:p>
    <w:p w:rsidR="002A2982" w:rsidRPr="001F36AE" w:rsidRDefault="002A2982" w:rsidP="00A3563E">
      <w:pPr>
        <w:spacing w:after="120"/>
        <w:rPr>
          <w:rFonts w:ascii="Arial" w:hAnsi="Arial" w:cs="Arial"/>
          <w:sz w:val="20"/>
          <w:szCs w:val="20"/>
        </w:rPr>
      </w:pPr>
      <w:r w:rsidRPr="001F36AE">
        <w:rPr>
          <w:rFonts w:ascii="Arial" w:hAnsi="Arial" w:cs="Arial"/>
          <w:b/>
          <w:sz w:val="20"/>
          <w:szCs w:val="20"/>
        </w:rPr>
        <w:t xml:space="preserve">Provider </w:t>
      </w:r>
      <w:r w:rsidRPr="001F36AE">
        <w:rPr>
          <w:rFonts w:ascii="Arial" w:hAnsi="Arial" w:cs="Arial"/>
          <w:sz w:val="20"/>
          <w:szCs w:val="20"/>
        </w:rPr>
        <w:t xml:space="preserve">means a dispute resolution provider appointed by Registry Operator to administer resolution of disputes arising under this Policy </w:t>
      </w:r>
    </w:p>
    <w:p w:rsidR="00761088" w:rsidRPr="001F36AE" w:rsidRDefault="00761088" w:rsidP="00A3563E">
      <w:pPr>
        <w:spacing w:after="120"/>
        <w:rPr>
          <w:rFonts w:ascii="Arial" w:hAnsi="Arial" w:cs="Arial"/>
          <w:i/>
          <w:sz w:val="20"/>
          <w:szCs w:val="20"/>
        </w:rPr>
      </w:pPr>
      <w:r w:rsidRPr="001F36AE">
        <w:rPr>
          <w:rFonts w:ascii="Arial" w:hAnsi="Arial" w:cs="Arial"/>
          <w:b/>
          <w:sz w:val="20"/>
          <w:szCs w:val="20"/>
        </w:rPr>
        <w:t>Registry</w:t>
      </w:r>
      <w:r w:rsidRPr="001F36AE">
        <w:rPr>
          <w:rFonts w:ascii="Arial" w:hAnsi="Arial" w:cs="Arial"/>
          <w:sz w:val="20"/>
          <w:szCs w:val="20"/>
        </w:rPr>
        <w:t xml:space="preserve"> </w:t>
      </w:r>
      <w:r w:rsidR="00F2616C" w:rsidRPr="001F36AE">
        <w:rPr>
          <w:rFonts w:ascii="Arial" w:hAnsi="Arial" w:cs="Arial"/>
          <w:b/>
          <w:sz w:val="20"/>
          <w:szCs w:val="20"/>
        </w:rPr>
        <w:t>Operator</w:t>
      </w:r>
      <w:r w:rsidR="00F2616C" w:rsidRPr="001F36AE">
        <w:rPr>
          <w:rFonts w:ascii="Arial" w:hAnsi="Arial" w:cs="Arial"/>
          <w:sz w:val="20"/>
          <w:szCs w:val="20"/>
        </w:rPr>
        <w:t xml:space="preserve"> </w:t>
      </w:r>
      <w:r w:rsidRPr="001F36AE">
        <w:rPr>
          <w:rFonts w:ascii="Arial" w:hAnsi="Arial" w:cs="Arial"/>
          <w:i/>
          <w:sz w:val="20"/>
          <w:szCs w:val="20"/>
        </w:rPr>
        <w:t>means</w:t>
      </w:r>
      <w:r w:rsidRPr="001F36AE">
        <w:rPr>
          <w:rFonts w:ascii="Arial" w:hAnsi="Arial" w:cs="Arial"/>
          <w:sz w:val="20"/>
          <w:szCs w:val="20"/>
        </w:rPr>
        <w:t xml:space="preserve"> </w:t>
      </w:r>
      <w:r w:rsidR="00F42560" w:rsidRPr="00F42560">
        <w:rPr>
          <w:rFonts w:ascii="Arial" w:hAnsi="Arial" w:cs="Arial"/>
          <w:i/>
          <w:sz w:val="20"/>
          <w:szCs w:val="20"/>
        </w:rPr>
        <w:t>Kerry Trading Co. Limited</w:t>
      </w:r>
    </w:p>
    <w:p w:rsidR="00761088" w:rsidRPr="001F36AE" w:rsidRDefault="00761088" w:rsidP="00A3563E">
      <w:pPr>
        <w:spacing w:after="120"/>
        <w:rPr>
          <w:rFonts w:ascii="Arial" w:hAnsi="Arial" w:cs="Arial"/>
          <w:sz w:val="20"/>
          <w:szCs w:val="20"/>
        </w:rPr>
      </w:pPr>
      <w:r w:rsidRPr="001F36AE">
        <w:rPr>
          <w:rFonts w:ascii="Arial" w:hAnsi="Arial" w:cs="Arial"/>
          <w:b/>
          <w:sz w:val="20"/>
          <w:szCs w:val="20"/>
        </w:rPr>
        <w:t xml:space="preserve">Registry Agreement </w:t>
      </w:r>
      <w:r w:rsidRPr="001F36AE">
        <w:rPr>
          <w:rFonts w:ascii="Arial" w:hAnsi="Arial" w:cs="Arial"/>
          <w:i/>
          <w:sz w:val="20"/>
          <w:szCs w:val="20"/>
        </w:rPr>
        <w:t xml:space="preserve">means the agreement between </w:t>
      </w:r>
      <w:r w:rsidR="00D75A54" w:rsidRPr="001F36AE">
        <w:rPr>
          <w:rFonts w:ascii="Arial" w:hAnsi="Arial" w:cs="Arial"/>
          <w:i/>
          <w:sz w:val="20"/>
          <w:szCs w:val="20"/>
        </w:rPr>
        <w:t>the Registry</w:t>
      </w:r>
      <w:r w:rsidR="007309BA" w:rsidRPr="001F36AE">
        <w:rPr>
          <w:rFonts w:ascii="Arial" w:hAnsi="Arial" w:cs="Arial"/>
          <w:i/>
          <w:sz w:val="20"/>
          <w:szCs w:val="20"/>
        </w:rPr>
        <w:t xml:space="preserve"> Operator</w:t>
      </w:r>
      <w:r w:rsidRPr="001F36AE">
        <w:rPr>
          <w:rFonts w:ascii="Arial" w:hAnsi="Arial" w:cs="Arial"/>
          <w:i/>
          <w:sz w:val="20"/>
          <w:szCs w:val="20"/>
        </w:rPr>
        <w:t xml:space="preserve"> and ICANN;</w:t>
      </w:r>
    </w:p>
    <w:p w:rsidR="00761088" w:rsidRPr="001F36AE" w:rsidRDefault="00761088" w:rsidP="00A3563E">
      <w:pPr>
        <w:spacing w:after="120"/>
        <w:rPr>
          <w:rFonts w:ascii="Arial" w:hAnsi="Arial" w:cs="Arial"/>
          <w:i/>
          <w:sz w:val="20"/>
          <w:szCs w:val="20"/>
        </w:rPr>
      </w:pPr>
      <w:r w:rsidRPr="001F36AE">
        <w:rPr>
          <w:rFonts w:ascii="Arial" w:hAnsi="Arial" w:cs="Arial"/>
          <w:b/>
          <w:sz w:val="20"/>
          <w:szCs w:val="20"/>
        </w:rPr>
        <w:t>Registry Rules</w:t>
      </w:r>
      <w:r w:rsidRPr="001F36AE">
        <w:rPr>
          <w:rFonts w:ascii="Arial" w:hAnsi="Arial" w:cs="Arial"/>
          <w:sz w:val="20"/>
          <w:szCs w:val="20"/>
        </w:rPr>
        <w:t xml:space="preserve"> </w:t>
      </w:r>
      <w:r w:rsidRPr="001F36AE">
        <w:rPr>
          <w:rFonts w:ascii="Arial" w:hAnsi="Arial" w:cs="Arial"/>
          <w:i/>
          <w:sz w:val="20"/>
          <w:szCs w:val="20"/>
        </w:rPr>
        <w:t>mean:</w:t>
      </w:r>
    </w:p>
    <w:p w:rsidR="002A2982" w:rsidRPr="001F36AE" w:rsidRDefault="002A2982" w:rsidP="00A3563E">
      <w:pPr>
        <w:pStyle w:val="ListParagraph"/>
        <w:numPr>
          <w:ilvl w:val="0"/>
          <w:numId w:val="6"/>
        </w:numPr>
        <w:spacing w:after="120"/>
        <w:rPr>
          <w:rFonts w:ascii="Arial" w:hAnsi="Arial" w:cs="Arial"/>
          <w:i/>
          <w:sz w:val="20"/>
          <w:szCs w:val="20"/>
        </w:rPr>
      </w:pPr>
      <w:r w:rsidRPr="001F36AE">
        <w:rPr>
          <w:rFonts w:ascii="Arial" w:hAnsi="Arial" w:cs="Arial"/>
          <w:i/>
          <w:sz w:val="20"/>
          <w:szCs w:val="20"/>
        </w:rPr>
        <w:t>this Sunrise Registration and Sunrise Dispute Resolution Policy as amended by the Registry Operator from time to time;</w:t>
      </w:r>
    </w:p>
    <w:p w:rsidR="00761088" w:rsidRPr="001F36AE" w:rsidRDefault="002A2982" w:rsidP="00A3563E">
      <w:pPr>
        <w:pStyle w:val="ListParagraph"/>
        <w:numPr>
          <w:ilvl w:val="0"/>
          <w:numId w:val="6"/>
        </w:numPr>
        <w:spacing w:after="120"/>
        <w:rPr>
          <w:rFonts w:ascii="Arial" w:hAnsi="Arial" w:cs="Arial"/>
          <w:i/>
          <w:sz w:val="20"/>
          <w:szCs w:val="20"/>
        </w:rPr>
      </w:pPr>
      <w:r w:rsidRPr="001F36AE">
        <w:rPr>
          <w:rFonts w:ascii="Arial" w:hAnsi="Arial" w:cs="Arial"/>
          <w:i/>
          <w:sz w:val="20"/>
          <w:szCs w:val="20"/>
        </w:rPr>
        <w:t>the</w:t>
      </w:r>
      <w:r w:rsidR="00B1094D" w:rsidRPr="001F36AE">
        <w:rPr>
          <w:rFonts w:ascii="Arial" w:hAnsi="Arial" w:cs="Arial"/>
          <w:i/>
          <w:sz w:val="20"/>
          <w:szCs w:val="20"/>
        </w:rPr>
        <w:t xml:space="preserve"> Registration Policy</w:t>
      </w:r>
      <w:r w:rsidR="00DE2C45" w:rsidRPr="001F36AE">
        <w:rPr>
          <w:rFonts w:ascii="Arial" w:hAnsi="Arial" w:cs="Arial"/>
          <w:i/>
          <w:sz w:val="20"/>
          <w:szCs w:val="20"/>
        </w:rPr>
        <w:t xml:space="preserve"> as amended by the Registry</w:t>
      </w:r>
      <w:r w:rsidRPr="001F36AE">
        <w:rPr>
          <w:rFonts w:ascii="Arial" w:hAnsi="Arial" w:cs="Arial"/>
          <w:i/>
          <w:sz w:val="20"/>
          <w:szCs w:val="20"/>
        </w:rPr>
        <w:t xml:space="preserve"> Operator</w:t>
      </w:r>
      <w:r w:rsidR="00DE2C45" w:rsidRPr="001F36AE">
        <w:rPr>
          <w:rFonts w:ascii="Arial" w:hAnsi="Arial" w:cs="Arial"/>
          <w:i/>
          <w:sz w:val="20"/>
          <w:szCs w:val="20"/>
        </w:rPr>
        <w:t xml:space="preserve"> from time to time</w:t>
      </w:r>
      <w:r w:rsidR="00761088" w:rsidRPr="001F36AE">
        <w:rPr>
          <w:rFonts w:ascii="Arial" w:hAnsi="Arial" w:cs="Arial"/>
          <w:i/>
          <w:sz w:val="20"/>
          <w:szCs w:val="20"/>
        </w:rPr>
        <w:t>; and</w:t>
      </w:r>
    </w:p>
    <w:p w:rsidR="00761088" w:rsidRPr="001F36AE" w:rsidRDefault="00B1094D" w:rsidP="00A3563E">
      <w:pPr>
        <w:pStyle w:val="ListParagraph"/>
        <w:numPr>
          <w:ilvl w:val="0"/>
          <w:numId w:val="6"/>
        </w:numPr>
        <w:spacing w:after="120"/>
        <w:rPr>
          <w:rFonts w:ascii="Arial" w:hAnsi="Arial" w:cs="Arial"/>
          <w:i/>
          <w:sz w:val="20"/>
          <w:szCs w:val="20"/>
        </w:rPr>
      </w:pPr>
      <w:proofErr w:type="gramStart"/>
      <w:r w:rsidRPr="001F36AE">
        <w:rPr>
          <w:rFonts w:ascii="Arial" w:hAnsi="Arial" w:cs="Arial"/>
          <w:i/>
          <w:sz w:val="20"/>
          <w:szCs w:val="20"/>
        </w:rPr>
        <w:t>any</w:t>
      </w:r>
      <w:proofErr w:type="gramEnd"/>
      <w:r w:rsidRPr="001F36AE">
        <w:rPr>
          <w:rFonts w:ascii="Arial" w:hAnsi="Arial" w:cs="Arial"/>
          <w:i/>
          <w:sz w:val="20"/>
          <w:szCs w:val="20"/>
        </w:rPr>
        <w:t xml:space="preserve"> rules and regulations </w:t>
      </w:r>
      <w:r w:rsidR="00761088" w:rsidRPr="001F36AE">
        <w:rPr>
          <w:rFonts w:ascii="Arial" w:hAnsi="Arial" w:cs="Arial"/>
          <w:i/>
          <w:sz w:val="20"/>
          <w:szCs w:val="20"/>
        </w:rPr>
        <w:t xml:space="preserve">provided and amended by the Registry </w:t>
      </w:r>
      <w:r w:rsidR="007309BA" w:rsidRPr="001F36AE">
        <w:rPr>
          <w:rFonts w:ascii="Arial" w:hAnsi="Arial" w:cs="Arial"/>
          <w:i/>
          <w:sz w:val="20"/>
          <w:szCs w:val="20"/>
        </w:rPr>
        <w:t xml:space="preserve">Operator </w:t>
      </w:r>
      <w:r w:rsidR="00761088" w:rsidRPr="001F36AE">
        <w:rPr>
          <w:rFonts w:ascii="Arial" w:hAnsi="Arial" w:cs="Arial"/>
          <w:i/>
          <w:sz w:val="20"/>
          <w:szCs w:val="20"/>
        </w:rPr>
        <w:t>from time to time.</w:t>
      </w:r>
    </w:p>
    <w:p w:rsidR="00BF2ED1" w:rsidRPr="001F36AE" w:rsidRDefault="00BF2ED1" w:rsidP="005136DE">
      <w:pPr>
        <w:spacing w:after="120"/>
        <w:rPr>
          <w:rFonts w:ascii="Arial" w:hAnsi="Arial" w:cs="Arial"/>
          <w:b/>
          <w:sz w:val="20"/>
          <w:szCs w:val="20"/>
        </w:rPr>
      </w:pPr>
      <w:r w:rsidRPr="001F36AE">
        <w:rPr>
          <w:rFonts w:ascii="Arial" w:hAnsi="Arial" w:cs="Arial"/>
          <w:b/>
          <w:sz w:val="20"/>
          <w:szCs w:val="20"/>
        </w:rPr>
        <w:t xml:space="preserve">SMD File </w:t>
      </w:r>
      <w:r w:rsidRPr="001F36AE">
        <w:rPr>
          <w:rFonts w:ascii="Arial" w:hAnsi="Arial" w:cs="Arial"/>
          <w:i/>
          <w:sz w:val="20"/>
          <w:szCs w:val="20"/>
        </w:rPr>
        <w:t xml:space="preserve">means a signed mark data file issued by the TMCH </w:t>
      </w:r>
      <w:r w:rsidRPr="001F36AE">
        <w:rPr>
          <w:rFonts w:ascii="Arial" w:hAnsi="Arial" w:cs="Arial"/>
          <w:b/>
          <w:sz w:val="20"/>
          <w:szCs w:val="20"/>
        </w:rPr>
        <w:t xml:space="preserve"> </w:t>
      </w:r>
    </w:p>
    <w:p w:rsidR="005136DE" w:rsidRPr="001F36AE" w:rsidRDefault="005136DE" w:rsidP="005136DE">
      <w:pPr>
        <w:spacing w:after="120"/>
        <w:rPr>
          <w:rFonts w:ascii="Arial" w:hAnsi="Arial" w:cs="Arial"/>
          <w:i/>
          <w:sz w:val="20"/>
          <w:szCs w:val="20"/>
        </w:rPr>
      </w:pPr>
      <w:r w:rsidRPr="001F36AE">
        <w:rPr>
          <w:rFonts w:ascii="Arial" w:hAnsi="Arial" w:cs="Arial"/>
          <w:b/>
          <w:sz w:val="20"/>
          <w:szCs w:val="20"/>
        </w:rPr>
        <w:t>Sunrise Period</w:t>
      </w:r>
      <w:r w:rsidRPr="001F36AE">
        <w:rPr>
          <w:rFonts w:ascii="Arial" w:hAnsi="Arial" w:cs="Arial"/>
          <w:sz w:val="20"/>
          <w:szCs w:val="20"/>
        </w:rPr>
        <w:t xml:space="preserve"> </w:t>
      </w:r>
      <w:r w:rsidRPr="001F36AE">
        <w:rPr>
          <w:rFonts w:ascii="Arial" w:hAnsi="Arial" w:cs="Arial"/>
          <w:i/>
          <w:sz w:val="20"/>
          <w:szCs w:val="20"/>
        </w:rPr>
        <w:t xml:space="preserve">means a period of time in which, eligible trademark holders may apply for domain name registration that matches their trademark in the </w:t>
      </w:r>
      <w:r w:rsidR="0064663E">
        <w:rPr>
          <w:rFonts w:ascii="Arial" w:hAnsi="Arial" w:cs="Arial"/>
          <w:b/>
          <w:i/>
          <w:sz w:val="20"/>
          <w:szCs w:val="20"/>
        </w:rPr>
        <w:t>.KERRYPROPERTIES</w:t>
      </w:r>
      <w:r w:rsidRPr="001F36AE">
        <w:rPr>
          <w:rFonts w:ascii="Arial" w:hAnsi="Arial" w:cs="Arial"/>
          <w:i/>
          <w:sz w:val="20"/>
          <w:szCs w:val="20"/>
        </w:rPr>
        <w:t xml:space="preserve"> TLD </w:t>
      </w:r>
    </w:p>
    <w:p w:rsidR="00C103E9" w:rsidRPr="009243C3" w:rsidRDefault="009243C3" w:rsidP="00F92366">
      <w:pPr>
        <w:rPr>
          <w:rFonts w:ascii="Arial" w:hAnsi="Arial" w:cs="Arial"/>
          <w:b/>
          <w:sz w:val="20"/>
          <w:szCs w:val="20"/>
        </w:rPr>
      </w:pPr>
      <w:r w:rsidRPr="001F36AE">
        <w:rPr>
          <w:rFonts w:ascii="Arial" w:hAnsi="Arial" w:cs="Arial"/>
          <w:b/>
          <w:sz w:val="20"/>
          <w:szCs w:val="20"/>
        </w:rPr>
        <w:t xml:space="preserve">TMCH </w:t>
      </w:r>
      <w:r w:rsidRPr="001F36AE">
        <w:rPr>
          <w:rFonts w:ascii="Arial" w:hAnsi="Arial" w:cs="Arial"/>
          <w:i/>
          <w:sz w:val="20"/>
          <w:szCs w:val="20"/>
        </w:rPr>
        <w:t>means the Trademark Clearinghouse</w:t>
      </w:r>
      <w:r>
        <w:rPr>
          <w:rFonts w:ascii="Arial" w:hAnsi="Arial" w:cs="Arial"/>
          <w:b/>
          <w:sz w:val="20"/>
          <w:szCs w:val="20"/>
        </w:rPr>
        <w:t xml:space="preserve"> </w:t>
      </w:r>
    </w:p>
    <w:sectPr w:rsidR="00C103E9" w:rsidRPr="009243C3" w:rsidSect="00B01136">
      <w:footerReference w:type="default" r:id="rId9"/>
      <w:pgSz w:w="11906" w:h="16838"/>
      <w:pgMar w:top="1152"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ED1" w:rsidRDefault="00BF2ED1" w:rsidP="00682A46">
      <w:r>
        <w:separator/>
      </w:r>
    </w:p>
  </w:endnote>
  <w:endnote w:type="continuationSeparator" w:id="0">
    <w:p w:rsidR="00BF2ED1" w:rsidRDefault="00BF2ED1" w:rsidP="0068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711255"/>
      <w:docPartObj>
        <w:docPartGallery w:val="Page Numbers (Bottom of Page)"/>
        <w:docPartUnique/>
      </w:docPartObj>
    </w:sdtPr>
    <w:sdtEndPr>
      <w:rPr>
        <w:noProof/>
        <w:sz w:val="18"/>
        <w:szCs w:val="18"/>
      </w:rPr>
    </w:sdtEndPr>
    <w:sdtContent>
      <w:p w:rsidR="00BF2ED1" w:rsidRPr="00682A46" w:rsidRDefault="00BF2ED1">
        <w:pPr>
          <w:pStyle w:val="Footer"/>
          <w:jc w:val="right"/>
          <w:rPr>
            <w:sz w:val="18"/>
            <w:szCs w:val="18"/>
          </w:rPr>
        </w:pPr>
        <w:r w:rsidRPr="00682A46">
          <w:rPr>
            <w:sz w:val="18"/>
            <w:szCs w:val="18"/>
          </w:rPr>
          <w:fldChar w:fldCharType="begin"/>
        </w:r>
        <w:r w:rsidRPr="00682A46">
          <w:rPr>
            <w:sz w:val="18"/>
            <w:szCs w:val="18"/>
          </w:rPr>
          <w:instrText xml:space="preserve"> PAGE   \* MERGEFORMAT </w:instrText>
        </w:r>
        <w:r w:rsidRPr="00682A46">
          <w:rPr>
            <w:sz w:val="18"/>
            <w:szCs w:val="18"/>
          </w:rPr>
          <w:fldChar w:fldCharType="separate"/>
        </w:r>
        <w:r w:rsidR="0064663E">
          <w:rPr>
            <w:noProof/>
            <w:sz w:val="18"/>
            <w:szCs w:val="18"/>
          </w:rPr>
          <w:t>1</w:t>
        </w:r>
        <w:r w:rsidRPr="00682A4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ED1" w:rsidRDefault="00BF2ED1" w:rsidP="00682A46">
      <w:r>
        <w:separator/>
      </w:r>
    </w:p>
  </w:footnote>
  <w:footnote w:type="continuationSeparator" w:id="0">
    <w:p w:rsidR="00BF2ED1" w:rsidRDefault="00BF2ED1" w:rsidP="00682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58A"/>
    <w:multiLevelType w:val="hybridMultilevel"/>
    <w:tmpl w:val="A78AFE1E"/>
    <w:lvl w:ilvl="0" w:tplc="8278C10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D212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8A5BB3"/>
    <w:multiLevelType w:val="hybridMultilevel"/>
    <w:tmpl w:val="99A028D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6D94A8B"/>
    <w:multiLevelType w:val="hybridMultilevel"/>
    <w:tmpl w:val="848C6964"/>
    <w:lvl w:ilvl="0" w:tplc="30B4F31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D130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9E32D2"/>
    <w:multiLevelType w:val="hybridMultilevel"/>
    <w:tmpl w:val="B284DE8C"/>
    <w:lvl w:ilvl="0" w:tplc="4CC0BC4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0E793D"/>
    <w:multiLevelType w:val="hybridMultilevel"/>
    <w:tmpl w:val="13088C32"/>
    <w:lvl w:ilvl="0" w:tplc="C3D445F4">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3B577A"/>
    <w:multiLevelType w:val="multilevel"/>
    <w:tmpl w:val="638451CA"/>
    <w:lvl w:ilvl="0">
      <w:start w:val="1"/>
      <w:numFmt w:val="lowerLetter"/>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8" w15:restartNumberingAfterBreak="0">
    <w:nsid w:val="23F64C5F"/>
    <w:multiLevelType w:val="hybridMultilevel"/>
    <w:tmpl w:val="7AC448D2"/>
    <w:lvl w:ilvl="0" w:tplc="30B4F31C">
      <w:start w:val="1"/>
      <w:numFmt w:val="lowerRoman"/>
      <w:lvlText w:val="(%1)"/>
      <w:lvlJc w:val="left"/>
      <w:pPr>
        <w:ind w:left="1080" w:hanging="720"/>
      </w:pPr>
      <w:rPr>
        <w:rFonts w:hint="default"/>
      </w:rPr>
    </w:lvl>
    <w:lvl w:ilvl="1" w:tplc="4CC0BC4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7432EF"/>
    <w:multiLevelType w:val="hybridMultilevel"/>
    <w:tmpl w:val="A9083D4E"/>
    <w:lvl w:ilvl="0" w:tplc="4CC0BC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DA18DC"/>
    <w:multiLevelType w:val="hybridMultilevel"/>
    <w:tmpl w:val="B608D1D4"/>
    <w:lvl w:ilvl="0" w:tplc="4CC0BC4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1466E0"/>
    <w:multiLevelType w:val="hybridMultilevel"/>
    <w:tmpl w:val="8BFAA0AA"/>
    <w:lvl w:ilvl="0" w:tplc="30B4F31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954B23"/>
    <w:multiLevelType w:val="hybridMultilevel"/>
    <w:tmpl w:val="8FF0666A"/>
    <w:lvl w:ilvl="0" w:tplc="A4CA8712">
      <w:start w:val="1"/>
      <w:numFmt w:val="lowerRoman"/>
      <w:lvlText w:val="(%1)"/>
      <w:lvlJc w:val="left"/>
      <w:pPr>
        <w:ind w:left="1080" w:hanging="360"/>
      </w:pPr>
      <w:rPr>
        <w:rFonts w:hint="default"/>
        <w:b w:val="0"/>
      </w:rPr>
    </w:lvl>
    <w:lvl w:ilvl="1" w:tplc="04090019">
      <w:start w:val="1"/>
      <w:numFmt w:val="lowerLetter"/>
      <w:lvlText w:val="%2."/>
      <w:lvlJc w:val="left"/>
      <w:pPr>
        <w:ind w:left="1800" w:hanging="360"/>
      </w:pPr>
    </w:lvl>
    <w:lvl w:ilvl="2" w:tplc="6EF04F8A">
      <w:numFmt w:val="bullet"/>
      <w:lvlText w:val="•"/>
      <w:lvlJc w:val="left"/>
      <w:pPr>
        <w:ind w:left="2700" w:hanging="360"/>
      </w:pPr>
      <w:rPr>
        <w:rFonts w:ascii="Arial" w:eastAsiaTheme="minorHAnsi"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EA69E6"/>
    <w:multiLevelType w:val="hybridMultilevel"/>
    <w:tmpl w:val="94B2FEE2"/>
    <w:lvl w:ilvl="0" w:tplc="4CC0BC4E">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5EB3630"/>
    <w:multiLevelType w:val="hybridMultilevel"/>
    <w:tmpl w:val="360AAF7C"/>
    <w:lvl w:ilvl="0" w:tplc="4CC0BC4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B03B50"/>
    <w:multiLevelType w:val="hybridMultilevel"/>
    <w:tmpl w:val="60A27A0E"/>
    <w:lvl w:ilvl="0" w:tplc="7E72448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AE639B"/>
    <w:multiLevelType w:val="hybridMultilevel"/>
    <w:tmpl w:val="F3ACB19A"/>
    <w:lvl w:ilvl="0" w:tplc="4CC0BC4E">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BB0C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C93822"/>
    <w:multiLevelType w:val="hybridMultilevel"/>
    <w:tmpl w:val="C9F8E86C"/>
    <w:lvl w:ilvl="0" w:tplc="590EF04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8D1D53"/>
    <w:multiLevelType w:val="hybridMultilevel"/>
    <w:tmpl w:val="7A6C064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AC62499"/>
    <w:multiLevelType w:val="hybridMultilevel"/>
    <w:tmpl w:val="5F94067E"/>
    <w:lvl w:ilvl="0" w:tplc="4CC0BC4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CC72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8779E6"/>
    <w:multiLevelType w:val="hybridMultilevel"/>
    <w:tmpl w:val="E1B2F7AE"/>
    <w:lvl w:ilvl="0" w:tplc="D6622586">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C406BE3"/>
    <w:multiLevelType w:val="hybridMultilevel"/>
    <w:tmpl w:val="6344802A"/>
    <w:lvl w:ilvl="0" w:tplc="4CC0BC4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423069"/>
    <w:multiLevelType w:val="hybridMultilevel"/>
    <w:tmpl w:val="EBF80A98"/>
    <w:lvl w:ilvl="0" w:tplc="4CC0BC4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8"/>
  </w:num>
  <w:num w:numId="3">
    <w:abstractNumId w:val="11"/>
  </w:num>
  <w:num w:numId="4">
    <w:abstractNumId w:val="3"/>
  </w:num>
  <w:num w:numId="5">
    <w:abstractNumId w:val="18"/>
  </w:num>
  <w:num w:numId="6">
    <w:abstractNumId w:val="0"/>
  </w:num>
  <w:num w:numId="7">
    <w:abstractNumId w:val="22"/>
  </w:num>
  <w:num w:numId="8">
    <w:abstractNumId w:val="15"/>
  </w:num>
  <w:num w:numId="9">
    <w:abstractNumId w:val="13"/>
  </w:num>
  <w:num w:numId="10">
    <w:abstractNumId w:val="23"/>
  </w:num>
  <w:num w:numId="11">
    <w:abstractNumId w:val="20"/>
  </w:num>
  <w:num w:numId="12">
    <w:abstractNumId w:val="19"/>
  </w:num>
  <w:num w:numId="13">
    <w:abstractNumId w:val="24"/>
  </w:num>
  <w:num w:numId="14">
    <w:abstractNumId w:val="16"/>
  </w:num>
  <w:num w:numId="15">
    <w:abstractNumId w:val="2"/>
  </w:num>
  <w:num w:numId="16">
    <w:abstractNumId w:val="1"/>
  </w:num>
  <w:num w:numId="17">
    <w:abstractNumId w:val="17"/>
  </w:num>
  <w:num w:numId="18">
    <w:abstractNumId w:val="21"/>
  </w:num>
  <w:num w:numId="19">
    <w:abstractNumId w:val="4"/>
  </w:num>
  <w:num w:numId="20">
    <w:abstractNumId w:val="5"/>
  </w:num>
  <w:num w:numId="21">
    <w:abstractNumId w:val="10"/>
  </w:num>
  <w:num w:numId="22">
    <w:abstractNumId w:val="6"/>
  </w:num>
  <w:num w:numId="23">
    <w:abstractNumId w:val="14"/>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88"/>
    <w:rsid w:val="00043004"/>
    <w:rsid w:val="00052173"/>
    <w:rsid w:val="00053080"/>
    <w:rsid w:val="00077673"/>
    <w:rsid w:val="000852C4"/>
    <w:rsid w:val="000B77F4"/>
    <w:rsid w:val="000D0DF1"/>
    <w:rsid w:val="000D1AE7"/>
    <w:rsid w:val="00113DED"/>
    <w:rsid w:val="0012298E"/>
    <w:rsid w:val="001233C7"/>
    <w:rsid w:val="001274F6"/>
    <w:rsid w:val="00165A22"/>
    <w:rsid w:val="001940D7"/>
    <w:rsid w:val="001B46C3"/>
    <w:rsid w:val="001D0AEA"/>
    <w:rsid w:val="001F36AE"/>
    <w:rsid w:val="001F3C9D"/>
    <w:rsid w:val="00200DED"/>
    <w:rsid w:val="002049BC"/>
    <w:rsid w:val="0026590A"/>
    <w:rsid w:val="00275EA4"/>
    <w:rsid w:val="0029722D"/>
    <w:rsid w:val="002A2982"/>
    <w:rsid w:val="002C1747"/>
    <w:rsid w:val="002C2AA9"/>
    <w:rsid w:val="002D2BF4"/>
    <w:rsid w:val="002D5105"/>
    <w:rsid w:val="002E3CD5"/>
    <w:rsid w:val="003068E7"/>
    <w:rsid w:val="00320329"/>
    <w:rsid w:val="00322302"/>
    <w:rsid w:val="003236CC"/>
    <w:rsid w:val="003261AA"/>
    <w:rsid w:val="00326F2A"/>
    <w:rsid w:val="0033030D"/>
    <w:rsid w:val="00361174"/>
    <w:rsid w:val="0037614E"/>
    <w:rsid w:val="0039301B"/>
    <w:rsid w:val="003A2E1A"/>
    <w:rsid w:val="003D194F"/>
    <w:rsid w:val="003E1058"/>
    <w:rsid w:val="003E444A"/>
    <w:rsid w:val="003F28CA"/>
    <w:rsid w:val="00411495"/>
    <w:rsid w:val="00412D2E"/>
    <w:rsid w:val="00452A8E"/>
    <w:rsid w:val="00471507"/>
    <w:rsid w:val="00472FE8"/>
    <w:rsid w:val="004730C1"/>
    <w:rsid w:val="004B4F6A"/>
    <w:rsid w:val="0050706F"/>
    <w:rsid w:val="00507E0A"/>
    <w:rsid w:val="00512F4B"/>
    <w:rsid w:val="005136DE"/>
    <w:rsid w:val="005370E8"/>
    <w:rsid w:val="005448A7"/>
    <w:rsid w:val="0054749E"/>
    <w:rsid w:val="00562021"/>
    <w:rsid w:val="00570BF5"/>
    <w:rsid w:val="00574BBA"/>
    <w:rsid w:val="00580AEB"/>
    <w:rsid w:val="00586059"/>
    <w:rsid w:val="005A7F50"/>
    <w:rsid w:val="005D4323"/>
    <w:rsid w:val="00603983"/>
    <w:rsid w:val="00605A70"/>
    <w:rsid w:val="0061776B"/>
    <w:rsid w:val="00624FFE"/>
    <w:rsid w:val="00634D2C"/>
    <w:rsid w:val="0064663E"/>
    <w:rsid w:val="00650825"/>
    <w:rsid w:val="00682A46"/>
    <w:rsid w:val="00692434"/>
    <w:rsid w:val="006A1210"/>
    <w:rsid w:val="006A6AE7"/>
    <w:rsid w:val="006B0B37"/>
    <w:rsid w:val="006F2242"/>
    <w:rsid w:val="00724F0D"/>
    <w:rsid w:val="007309BA"/>
    <w:rsid w:val="0073135E"/>
    <w:rsid w:val="00733405"/>
    <w:rsid w:val="007367EC"/>
    <w:rsid w:val="00737120"/>
    <w:rsid w:val="00743738"/>
    <w:rsid w:val="00743966"/>
    <w:rsid w:val="00761088"/>
    <w:rsid w:val="00764C10"/>
    <w:rsid w:val="00771200"/>
    <w:rsid w:val="00777C88"/>
    <w:rsid w:val="00792DA1"/>
    <w:rsid w:val="00801E86"/>
    <w:rsid w:val="00817E37"/>
    <w:rsid w:val="00831A49"/>
    <w:rsid w:val="00837BA9"/>
    <w:rsid w:val="00853597"/>
    <w:rsid w:val="008A6E23"/>
    <w:rsid w:val="008C530F"/>
    <w:rsid w:val="008D13C6"/>
    <w:rsid w:val="00904243"/>
    <w:rsid w:val="00910545"/>
    <w:rsid w:val="009137B2"/>
    <w:rsid w:val="009243C3"/>
    <w:rsid w:val="00946477"/>
    <w:rsid w:val="009738FA"/>
    <w:rsid w:val="009849F2"/>
    <w:rsid w:val="00987A73"/>
    <w:rsid w:val="009B6B4D"/>
    <w:rsid w:val="009D67EE"/>
    <w:rsid w:val="009D739E"/>
    <w:rsid w:val="009F75A5"/>
    <w:rsid w:val="009F7E07"/>
    <w:rsid w:val="00A175AA"/>
    <w:rsid w:val="00A314A1"/>
    <w:rsid w:val="00A33BC3"/>
    <w:rsid w:val="00A3563E"/>
    <w:rsid w:val="00A917DA"/>
    <w:rsid w:val="00AC3D7E"/>
    <w:rsid w:val="00AE1D63"/>
    <w:rsid w:val="00AE38D3"/>
    <w:rsid w:val="00AF03B5"/>
    <w:rsid w:val="00AF5DDD"/>
    <w:rsid w:val="00B01136"/>
    <w:rsid w:val="00B1094D"/>
    <w:rsid w:val="00B14602"/>
    <w:rsid w:val="00B23A83"/>
    <w:rsid w:val="00B321AA"/>
    <w:rsid w:val="00B46276"/>
    <w:rsid w:val="00B907D4"/>
    <w:rsid w:val="00B92694"/>
    <w:rsid w:val="00BA020F"/>
    <w:rsid w:val="00BA4DDC"/>
    <w:rsid w:val="00BA7693"/>
    <w:rsid w:val="00BB34C5"/>
    <w:rsid w:val="00BC7F1B"/>
    <w:rsid w:val="00BF2ED1"/>
    <w:rsid w:val="00C103E9"/>
    <w:rsid w:val="00C204FC"/>
    <w:rsid w:val="00C56A63"/>
    <w:rsid w:val="00C6033B"/>
    <w:rsid w:val="00C720F9"/>
    <w:rsid w:val="00CB3944"/>
    <w:rsid w:val="00CD5F9D"/>
    <w:rsid w:val="00CD60A8"/>
    <w:rsid w:val="00D36CDB"/>
    <w:rsid w:val="00D377E3"/>
    <w:rsid w:val="00D37988"/>
    <w:rsid w:val="00D412B9"/>
    <w:rsid w:val="00D67C51"/>
    <w:rsid w:val="00D75A54"/>
    <w:rsid w:val="00D75BEC"/>
    <w:rsid w:val="00D75FD2"/>
    <w:rsid w:val="00D809F0"/>
    <w:rsid w:val="00DA675B"/>
    <w:rsid w:val="00DE02EF"/>
    <w:rsid w:val="00DE2C45"/>
    <w:rsid w:val="00DF0CC8"/>
    <w:rsid w:val="00E03200"/>
    <w:rsid w:val="00E17355"/>
    <w:rsid w:val="00E23177"/>
    <w:rsid w:val="00E71B5D"/>
    <w:rsid w:val="00E76212"/>
    <w:rsid w:val="00EA6B7E"/>
    <w:rsid w:val="00EA7CB3"/>
    <w:rsid w:val="00EB1524"/>
    <w:rsid w:val="00EB441C"/>
    <w:rsid w:val="00EB4E7C"/>
    <w:rsid w:val="00EB549B"/>
    <w:rsid w:val="00ED1C7C"/>
    <w:rsid w:val="00F06084"/>
    <w:rsid w:val="00F06B64"/>
    <w:rsid w:val="00F25DC9"/>
    <w:rsid w:val="00F2616C"/>
    <w:rsid w:val="00F42560"/>
    <w:rsid w:val="00F7289A"/>
    <w:rsid w:val="00F86E27"/>
    <w:rsid w:val="00F92366"/>
    <w:rsid w:val="00F9659B"/>
    <w:rsid w:val="00FB4CB8"/>
    <w:rsid w:val="00FB585A"/>
    <w:rsid w:val="00FD1E48"/>
    <w:rsid w:val="00FF37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A9CC"/>
  <w15:docId w15:val="{C0223268-27B0-495C-BE2F-BDBB5CCC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088"/>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088"/>
    <w:pPr>
      <w:ind w:left="720"/>
      <w:contextualSpacing/>
    </w:pPr>
  </w:style>
  <w:style w:type="paragraph" w:customStyle="1" w:styleId="NormalDeed">
    <w:name w:val="Normal Deed"/>
    <w:basedOn w:val="Normal"/>
    <w:rsid w:val="00761088"/>
    <w:pPr>
      <w:spacing w:after="240"/>
    </w:pPr>
    <w:rPr>
      <w:rFonts w:ascii="Times New Roman" w:eastAsia="Times New Roman" w:hAnsi="Times New Roman" w:cs="Times New Roman"/>
      <w:sz w:val="23"/>
      <w:szCs w:val="20"/>
      <w:lang w:val="en-AU"/>
    </w:rPr>
  </w:style>
  <w:style w:type="character" w:styleId="CommentReference">
    <w:name w:val="annotation reference"/>
    <w:basedOn w:val="DefaultParagraphFont"/>
    <w:uiPriority w:val="99"/>
    <w:semiHidden/>
    <w:unhideWhenUsed/>
    <w:rsid w:val="00C103E9"/>
    <w:rPr>
      <w:sz w:val="16"/>
      <w:szCs w:val="16"/>
    </w:rPr>
  </w:style>
  <w:style w:type="paragraph" w:styleId="CommentText">
    <w:name w:val="annotation text"/>
    <w:basedOn w:val="Normal"/>
    <w:link w:val="CommentTextChar"/>
    <w:uiPriority w:val="99"/>
    <w:unhideWhenUsed/>
    <w:rsid w:val="00C103E9"/>
    <w:rPr>
      <w:sz w:val="20"/>
      <w:szCs w:val="20"/>
    </w:rPr>
  </w:style>
  <w:style w:type="character" w:customStyle="1" w:styleId="CommentTextChar">
    <w:name w:val="Comment Text Char"/>
    <w:basedOn w:val="DefaultParagraphFont"/>
    <w:link w:val="CommentText"/>
    <w:uiPriority w:val="99"/>
    <w:rsid w:val="00C103E9"/>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C103E9"/>
    <w:rPr>
      <w:b/>
      <w:bCs/>
    </w:rPr>
  </w:style>
  <w:style w:type="character" w:customStyle="1" w:styleId="CommentSubjectChar">
    <w:name w:val="Comment Subject Char"/>
    <w:basedOn w:val="CommentTextChar"/>
    <w:link w:val="CommentSubject"/>
    <w:uiPriority w:val="99"/>
    <w:semiHidden/>
    <w:rsid w:val="00C103E9"/>
    <w:rPr>
      <w:rFonts w:eastAsiaTheme="minorEastAsia"/>
      <w:b/>
      <w:bCs/>
      <w:sz w:val="20"/>
      <w:szCs w:val="20"/>
      <w:lang w:val="en-US"/>
    </w:rPr>
  </w:style>
  <w:style w:type="paragraph" w:styleId="Revision">
    <w:name w:val="Revision"/>
    <w:hidden/>
    <w:uiPriority w:val="99"/>
    <w:semiHidden/>
    <w:rsid w:val="00C103E9"/>
    <w:pPr>
      <w:spacing w:after="0" w:line="240" w:lineRule="auto"/>
    </w:pPr>
    <w:rPr>
      <w:rFonts w:eastAsiaTheme="minorEastAsia"/>
      <w:sz w:val="24"/>
      <w:szCs w:val="24"/>
      <w:lang w:val="en-US"/>
    </w:rPr>
  </w:style>
  <w:style w:type="paragraph" w:styleId="BalloonText">
    <w:name w:val="Balloon Text"/>
    <w:basedOn w:val="Normal"/>
    <w:link w:val="BalloonTextChar"/>
    <w:uiPriority w:val="99"/>
    <w:semiHidden/>
    <w:unhideWhenUsed/>
    <w:rsid w:val="00C103E9"/>
    <w:rPr>
      <w:rFonts w:ascii="Tahoma" w:hAnsi="Tahoma" w:cs="Tahoma"/>
      <w:sz w:val="16"/>
      <w:szCs w:val="16"/>
    </w:rPr>
  </w:style>
  <w:style w:type="character" w:customStyle="1" w:styleId="BalloonTextChar">
    <w:name w:val="Balloon Text Char"/>
    <w:basedOn w:val="DefaultParagraphFont"/>
    <w:link w:val="BalloonText"/>
    <w:uiPriority w:val="99"/>
    <w:semiHidden/>
    <w:rsid w:val="00C103E9"/>
    <w:rPr>
      <w:rFonts w:ascii="Tahoma" w:eastAsiaTheme="minorEastAsia" w:hAnsi="Tahoma" w:cs="Tahoma"/>
      <w:sz w:val="16"/>
      <w:szCs w:val="16"/>
      <w:lang w:val="en-US"/>
    </w:rPr>
  </w:style>
  <w:style w:type="paragraph" w:styleId="Header">
    <w:name w:val="header"/>
    <w:basedOn w:val="Normal"/>
    <w:link w:val="HeaderChar"/>
    <w:uiPriority w:val="99"/>
    <w:unhideWhenUsed/>
    <w:rsid w:val="00682A46"/>
    <w:pPr>
      <w:tabs>
        <w:tab w:val="center" w:pos="4680"/>
        <w:tab w:val="right" w:pos="9360"/>
      </w:tabs>
    </w:pPr>
  </w:style>
  <w:style w:type="character" w:customStyle="1" w:styleId="HeaderChar">
    <w:name w:val="Header Char"/>
    <w:basedOn w:val="DefaultParagraphFont"/>
    <w:link w:val="Header"/>
    <w:uiPriority w:val="99"/>
    <w:rsid w:val="00682A46"/>
    <w:rPr>
      <w:rFonts w:eastAsiaTheme="minorEastAsia"/>
      <w:sz w:val="24"/>
      <w:szCs w:val="24"/>
      <w:lang w:val="en-US"/>
    </w:rPr>
  </w:style>
  <w:style w:type="paragraph" w:styleId="Footer">
    <w:name w:val="footer"/>
    <w:basedOn w:val="Normal"/>
    <w:link w:val="FooterChar"/>
    <w:uiPriority w:val="99"/>
    <w:unhideWhenUsed/>
    <w:rsid w:val="00682A46"/>
    <w:pPr>
      <w:tabs>
        <w:tab w:val="center" w:pos="4680"/>
        <w:tab w:val="right" w:pos="9360"/>
      </w:tabs>
    </w:pPr>
  </w:style>
  <w:style w:type="character" w:customStyle="1" w:styleId="FooterChar">
    <w:name w:val="Footer Char"/>
    <w:basedOn w:val="DefaultParagraphFont"/>
    <w:link w:val="Footer"/>
    <w:uiPriority w:val="99"/>
    <w:rsid w:val="00682A46"/>
    <w:rPr>
      <w:rFonts w:eastAsiaTheme="minorEastAsia"/>
      <w:sz w:val="24"/>
      <w:szCs w:val="24"/>
      <w:lang w:val="en-US"/>
    </w:rPr>
  </w:style>
  <w:style w:type="character" w:styleId="Hyperlink">
    <w:name w:val="Hyperlink"/>
    <w:basedOn w:val="DefaultParagraphFont"/>
    <w:uiPriority w:val="99"/>
    <w:unhideWhenUsed/>
    <w:rsid w:val="00987A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mark-clearinghouse.com/content/trademark-clearinghouse-guidelines-published" TargetMode="External"/><Relationship Id="rId3" Type="http://schemas.openxmlformats.org/officeDocument/2006/relationships/settings" Target="settings.xml"/><Relationship Id="rId7" Type="http://schemas.openxmlformats.org/officeDocument/2006/relationships/hyperlink" Target="http://www.trademark-clearinghouse.com/dispu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Melbourne IT</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Song</dc:creator>
  <cp:lastModifiedBy>Rhee, Dennis</cp:lastModifiedBy>
  <cp:revision>2</cp:revision>
  <cp:lastPrinted>2014-04-22T04:44:00Z</cp:lastPrinted>
  <dcterms:created xsi:type="dcterms:W3CDTF">2017-12-18T20:30:00Z</dcterms:created>
  <dcterms:modified xsi:type="dcterms:W3CDTF">2017-12-18T20:30:00Z</dcterms:modified>
</cp:coreProperties>
</file>